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B77" w:rsidRDefault="005307A3">
      <w:pPr>
        <w:spacing w:after="303" w:line="259" w:lineRule="auto"/>
        <w:ind w:left="0" w:right="0" w:firstLine="0"/>
        <w:jc w:val="left"/>
      </w:pPr>
      <w:bookmarkStart w:id="0" w:name="_GoBack"/>
      <w:bookmarkEnd w:id="0"/>
      <w:r>
        <w:rPr>
          <w:b/>
          <w:sz w:val="24"/>
        </w:rPr>
        <w:t xml:space="preserve">Forma záznamu z úkonu </w:t>
      </w:r>
    </w:p>
    <w:p w:rsidR="00295B77" w:rsidRDefault="005307A3">
      <w:pPr>
        <w:ind w:left="-5" w:right="-11"/>
      </w:pPr>
      <w:r>
        <w:t>O provádění úkonů v trestním řízení se zpravidla sepisuje protokol. Trestní řád stanoví obecná ustanovení o sepisování protokolu, který se sepíše zpravidla při úkonu nebo bezprostředně po něm</w:t>
      </w:r>
      <w:r>
        <w:rPr>
          <w:vertAlign w:val="superscript"/>
        </w:rPr>
        <w:footnoteReference w:id="1"/>
      </w:r>
      <w:r>
        <w:t xml:space="preserve">. </w:t>
      </w:r>
      <w:r>
        <w:t>Formální náležitosti písemné dokumentace požadované právními předpisy se liší podle druhu výslechu. Vyslýchající poučí vyslýchanou osobu před započetím výslechu prováděného prostřednictvím videokonferenčního zařízení o způsobu provedení výslechu a o možnos</w:t>
      </w:r>
      <w:r>
        <w:t xml:space="preserve">ti vznášet v průběhu výslechu námitky proti kvalitě obrazového nebo zvukového přenosu. Toto poučení poznamená do protokolu, před zápis výslechu. </w:t>
      </w:r>
    </w:p>
    <w:p w:rsidR="00295B77" w:rsidRDefault="005307A3">
      <w:pPr>
        <w:spacing w:after="0" w:line="259" w:lineRule="auto"/>
        <w:ind w:left="0" w:right="0" w:firstLine="0"/>
        <w:jc w:val="left"/>
      </w:pPr>
      <w:r>
        <w:t xml:space="preserve"> </w:t>
      </w:r>
    </w:p>
    <w:p w:rsidR="00295B77" w:rsidRDefault="005307A3">
      <w:pPr>
        <w:ind w:left="-5" w:right="-11"/>
      </w:pPr>
      <w:r>
        <w:t>Současně vyslýchající poučí vyslýchaného podle práv a odpovědností, které vyplývají z jeho procesního postav</w:t>
      </w:r>
      <w:r>
        <w:t>ení. V rámci výslechu prováděného prostřednictvím videokonferenčního zařízení lze vyslýchající osobu poučit osobní prezentací vyslýchajícím, kdy obsah poučení vyslýchající přečte, resp. ústně sdělí vyslýchanému, nebo z předem nahraného záznamu pustí předne</w:t>
      </w:r>
      <w:r>
        <w:t xml:space="preserve">s obsahu příslušného poučení. Současně může na obrazovce vyslýchanému předestřít text poučení. V případě, že je výslech realizován prostřednictvím videokonferenčního zařízení, je vyslýchaná osoba poučována prostřednictvím </w:t>
      </w:r>
      <w:proofErr w:type="spellStart"/>
      <w:r>
        <w:t>videointerakce</w:t>
      </w:r>
      <w:proofErr w:type="spellEnd"/>
      <w:r>
        <w:t>, protokol nepodepis</w:t>
      </w:r>
      <w:r>
        <w:t xml:space="preserve">uje.  </w:t>
      </w:r>
    </w:p>
    <w:p w:rsidR="00295B77" w:rsidRDefault="005307A3">
      <w:pPr>
        <w:spacing w:after="0" w:line="259" w:lineRule="auto"/>
        <w:ind w:left="0" w:right="0" w:firstLine="0"/>
        <w:jc w:val="left"/>
      </w:pPr>
      <w:r>
        <w:t xml:space="preserve"> </w:t>
      </w:r>
    </w:p>
    <w:p w:rsidR="00295B77" w:rsidRDefault="005307A3">
      <w:pPr>
        <w:ind w:left="-5" w:right="-11"/>
      </w:pPr>
      <w:r>
        <w:t>Při provádění úkonů prostřednictvím videokonferenčního zařízení,</w:t>
      </w:r>
      <w:r>
        <w:rPr>
          <w:b/>
        </w:rPr>
        <w:t xml:space="preserve"> </w:t>
      </w:r>
      <w:r>
        <w:t xml:space="preserve">se sepisuje protokol a současně </w:t>
      </w:r>
      <w:r>
        <w:rPr>
          <w:b/>
        </w:rPr>
        <w:t>se vždy pořizuje zvukový a obrazový záznam</w:t>
      </w:r>
      <w:r>
        <w:rPr>
          <w:vertAlign w:val="superscript"/>
        </w:rPr>
        <w:footnoteReference w:id="2"/>
      </w:r>
      <w:r>
        <w:rPr>
          <w:b/>
        </w:rPr>
        <w:t>.</w:t>
      </w:r>
      <w:r>
        <w:t xml:space="preserve"> Po skončení výslechu se protokol obviněnému na jeho žádost přečte</w:t>
      </w:r>
      <w:r>
        <w:rPr>
          <w:vertAlign w:val="superscript"/>
        </w:rPr>
        <w:footnoteReference w:id="3"/>
      </w:r>
      <w:r>
        <w:t xml:space="preserve">. Významný rozdíl mezi </w:t>
      </w:r>
      <w:proofErr w:type="spellStart"/>
      <w:r>
        <w:t>protokolací</w:t>
      </w:r>
      <w:proofErr w:type="spellEnd"/>
      <w:r>
        <w:t xml:space="preserve"> úkon</w:t>
      </w:r>
      <w:r>
        <w:t xml:space="preserve">u prováděného klasickou interakcí a prováděného prostřednictvím </w:t>
      </w:r>
      <w:proofErr w:type="spellStart"/>
      <w:r>
        <w:t>videointerakce</w:t>
      </w:r>
      <w:proofErr w:type="spellEnd"/>
      <w:r>
        <w:t xml:space="preserve"> tzn. prostřednictvím videokonferenčního zařízení je v podpisování protokolu, kdy v případech, kdy je úkon prováděn prostřednictvím videokonferenčního zřízení, osoba, jíž se úkon</w:t>
      </w:r>
      <w:r>
        <w:t xml:space="preserve"> týká, </w:t>
      </w:r>
      <w:r>
        <w:rPr>
          <w:b/>
        </w:rPr>
        <w:t>protokol nepodepisuje</w:t>
      </w:r>
      <w:r>
        <w:rPr>
          <w:vertAlign w:val="superscript"/>
        </w:rPr>
        <w:footnoteReference w:id="4"/>
      </w:r>
      <w:r>
        <w:rPr>
          <w:b/>
        </w:rPr>
        <w:t>.</w:t>
      </w:r>
      <w:r>
        <w:t xml:space="preserve"> Na závěr protokolu se výslovně uvede, že osoba, která byla vyslechnuta prostřednictvím videokonference, protokol nepodepisuje. Protokol podepisuje vyslýchající policejní orgán, státní zástupce nebo soudce a osoby přítomné na </w:t>
      </w:r>
      <w:r>
        <w:t xml:space="preserve">straně vyslýchajícího.  </w:t>
      </w:r>
    </w:p>
    <w:p w:rsidR="00295B77" w:rsidRDefault="005307A3">
      <w:pPr>
        <w:spacing w:after="0" w:line="259" w:lineRule="auto"/>
        <w:ind w:left="0" w:right="0" w:firstLine="0"/>
        <w:jc w:val="left"/>
      </w:pPr>
      <w:r>
        <w:t xml:space="preserve"> </w:t>
      </w:r>
    </w:p>
    <w:sectPr w:rsidR="00295B77">
      <w:footnotePr>
        <w:numRestart w:val="eachPage"/>
      </w:footnotePr>
      <w:pgSz w:w="11904" w:h="16838"/>
      <w:pgMar w:top="1440" w:right="1408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07A3" w:rsidRDefault="005307A3">
      <w:pPr>
        <w:spacing w:after="0" w:line="240" w:lineRule="auto"/>
      </w:pPr>
      <w:r>
        <w:separator/>
      </w:r>
    </w:p>
  </w:endnote>
  <w:endnote w:type="continuationSeparator" w:id="0">
    <w:p w:rsidR="005307A3" w:rsidRDefault="00530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07A3" w:rsidRDefault="005307A3">
      <w:pPr>
        <w:spacing w:after="23" w:line="259" w:lineRule="auto"/>
        <w:ind w:left="0" w:right="0" w:firstLine="0"/>
        <w:jc w:val="left"/>
      </w:pPr>
      <w:r>
        <w:separator/>
      </w:r>
    </w:p>
  </w:footnote>
  <w:footnote w:type="continuationSeparator" w:id="0">
    <w:p w:rsidR="005307A3" w:rsidRDefault="005307A3">
      <w:pPr>
        <w:spacing w:after="23" w:line="259" w:lineRule="auto"/>
        <w:ind w:left="0" w:right="0" w:firstLine="0"/>
        <w:jc w:val="left"/>
      </w:pPr>
      <w:r>
        <w:continuationSeparator/>
      </w:r>
    </w:p>
  </w:footnote>
  <w:footnote w:id="1">
    <w:p w:rsidR="00295B77" w:rsidRDefault="005307A3">
      <w:pPr>
        <w:pStyle w:val="footnotedescription"/>
      </w:pPr>
      <w:r>
        <w:rPr>
          <w:rStyle w:val="footnotemark"/>
        </w:rPr>
        <w:footnoteRef/>
      </w:r>
      <w:r>
        <w:t xml:space="preserve"> § 55 odst. 1 zákona č. 141/1961 Sb., trestní řád.</w:t>
      </w:r>
      <w:r>
        <w:rPr>
          <w:i w:val="0"/>
        </w:rPr>
        <w:t xml:space="preserve">  </w:t>
      </w:r>
    </w:p>
  </w:footnote>
  <w:footnote w:id="2">
    <w:p w:rsidR="00295B77" w:rsidRDefault="005307A3">
      <w:pPr>
        <w:pStyle w:val="footnotedescription"/>
        <w:spacing w:after="27"/>
      </w:pPr>
      <w:r>
        <w:rPr>
          <w:rStyle w:val="footnotemark"/>
        </w:rPr>
        <w:footnoteRef/>
      </w:r>
      <w:r>
        <w:t xml:space="preserve"> § 55a odst. 1 zákona č. 141/1961 Sb., trestní řád.</w:t>
      </w:r>
      <w:r>
        <w:rPr>
          <w:i w:val="0"/>
        </w:rPr>
        <w:t xml:space="preserve">  </w:t>
      </w:r>
    </w:p>
  </w:footnote>
  <w:footnote w:id="3">
    <w:p w:rsidR="00295B77" w:rsidRDefault="005307A3">
      <w:pPr>
        <w:pStyle w:val="footnotedescription"/>
      </w:pPr>
      <w:r>
        <w:rPr>
          <w:rStyle w:val="footnotemark"/>
        </w:rPr>
        <w:footnoteRef/>
      </w:r>
      <w:r>
        <w:t xml:space="preserve"> § 95 </w:t>
      </w:r>
      <w:r>
        <w:t>odst. 2 zákona č. 141/1961 Sb., trestní řád</w:t>
      </w:r>
      <w:r>
        <w:rPr>
          <w:i w:val="0"/>
        </w:rPr>
        <w:t xml:space="preserve">. </w:t>
      </w:r>
    </w:p>
  </w:footnote>
  <w:footnote w:id="4">
    <w:p w:rsidR="00295B77" w:rsidRDefault="005307A3">
      <w:pPr>
        <w:pStyle w:val="footnotedescription"/>
        <w:spacing w:after="0"/>
      </w:pPr>
      <w:r>
        <w:rPr>
          <w:rStyle w:val="footnotemark"/>
        </w:rPr>
        <w:footnoteRef/>
      </w:r>
      <w:r>
        <w:t xml:space="preserve"> § 56 odst. 1 zákona č. 141/1961 Sb., trestní řád</w:t>
      </w:r>
      <w:r>
        <w:rPr>
          <w:i w:val="0"/>
        </w:rPr>
        <w:t xml:space="preserve">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B77"/>
    <w:rsid w:val="00295B77"/>
    <w:rsid w:val="00432D63"/>
    <w:rsid w:val="00530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87100E-9DC5-497B-9C4E-73DA43AA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" w:line="243" w:lineRule="auto"/>
      <w:ind w:left="10" w:right="4" w:hanging="10"/>
      <w:jc w:val="both"/>
    </w:pPr>
    <w:rPr>
      <w:rFonts w:ascii="Calibri" w:eastAsia="Calibri" w:hAnsi="Calibri" w:cs="Calibri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footnotedescription">
    <w:name w:val="footnote description"/>
    <w:next w:val="Normln"/>
    <w:link w:val="footnotedescriptionChar"/>
    <w:hidden/>
    <w:pPr>
      <w:spacing w:after="23"/>
    </w:pPr>
    <w:rPr>
      <w:rFonts w:ascii="Times New Roman" w:eastAsia="Times New Roman" w:hAnsi="Times New Roman" w:cs="Times New Roman"/>
      <w:i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i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paja</cp:lastModifiedBy>
  <cp:revision>2</cp:revision>
  <dcterms:created xsi:type="dcterms:W3CDTF">2020-11-29T19:39:00Z</dcterms:created>
  <dcterms:modified xsi:type="dcterms:W3CDTF">2020-11-29T19:39:00Z</dcterms:modified>
</cp:coreProperties>
</file>