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  <w:r w:rsidRPr="000800B3">
        <w:rPr>
          <w:b/>
          <w:u w:val="single"/>
        </w:rPr>
        <w:t xml:space="preserve">Sebevraždy v Ústeckém kraji v letech 2006 </w:t>
      </w:r>
      <w:r w:rsidR="00F06C08">
        <w:rPr>
          <w:b/>
          <w:u w:val="single"/>
        </w:rPr>
        <w:t>–</w:t>
      </w:r>
      <w:r w:rsidRPr="000800B3">
        <w:rPr>
          <w:b/>
          <w:u w:val="single"/>
        </w:rPr>
        <w:t xml:space="preserve"> 201</w:t>
      </w:r>
      <w:r w:rsidR="00480163">
        <w:rPr>
          <w:b/>
          <w:u w:val="single"/>
        </w:rPr>
        <w:t>6</w:t>
      </w: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</w:pPr>
    </w:p>
    <w:tbl>
      <w:tblPr>
        <w:tblpPr w:leftFromText="141" w:rightFromText="141" w:vertAnchor="text" w:horzAnchor="margin" w:tblpXSpec="center" w:tblpY="630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40"/>
        <w:gridCol w:w="2340"/>
      </w:tblGrid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Celkem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Počet</w:t>
            </w:r>
          </w:p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  <w:color w:val="3366FF"/>
              </w:rPr>
              <w:t xml:space="preserve">Muži </w:t>
            </w:r>
            <w:r w:rsidRPr="002934CD">
              <w:rPr>
                <w:rFonts w:ascii="Arial" w:hAnsi="Arial" w:cs="Arial"/>
                <w:b/>
              </w:rPr>
              <w:t xml:space="preserve">/ </w:t>
            </w:r>
            <w:r w:rsidRPr="002934CD">
              <w:rPr>
                <w:rFonts w:ascii="Arial" w:hAnsi="Arial" w:cs="Arial"/>
                <w:b/>
                <w:color w:val="FF6600"/>
              </w:rPr>
              <w:t>ženy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2006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217</w:t>
            </w:r>
          </w:p>
        </w:tc>
        <w:tc>
          <w:tcPr>
            <w:tcW w:w="23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179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38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2007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210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 xml:space="preserve">169 </w:t>
            </w:r>
            <w:r w:rsidRPr="002934CD">
              <w:rPr>
                <w:rFonts w:ascii="Arial" w:hAnsi="Arial" w:cs="Arial"/>
              </w:rPr>
              <w:t xml:space="preserve">/ </w:t>
            </w:r>
            <w:r w:rsidRPr="002934CD">
              <w:rPr>
                <w:rFonts w:ascii="Arial" w:hAnsi="Arial" w:cs="Arial"/>
                <w:color w:val="FF6600"/>
              </w:rPr>
              <w:t>41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2008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195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159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36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2009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232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190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42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2010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149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120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29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2011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133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115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18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2012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142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120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7D3B31">
              <w:rPr>
                <w:rFonts w:ascii="Arial" w:hAnsi="Arial" w:cs="Arial"/>
                <w:color w:val="E36C0A"/>
              </w:rPr>
              <w:t>22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2013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137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color w:val="3366FF"/>
              </w:rPr>
            </w:pPr>
            <w:r w:rsidRPr="002934CD">
              <w:rPr>
                <w:rFonts w:ascii="Arial" w:hAnsi="Arial" w:cs="Arial"/>
                <w:color w:val="3366FF"/>
              </w:rPr>
              <w:t xml:space="preserve">107 </w:t>
            </w:r>
            <w:r w:rsidRPr="002934CD">
              <w:rPr>
                <w:rFonts w:ascii="Arial" w:hAnsi="Arial" w:cs="Arial"/>
              </w:rPr>
              <w:t xml:space="preserve">/ </w:t>
            </w:r>
            <w:r w:rsidRPr="007D3B31">
              <w:rPr>
                <w:rFonts w:ascii="Arial" w:hAnsi="Arial" w:cs="Arial"/>
                <w:color w:val="E36C0A"/>
              </w:rPr>
              <w:t>30</w:t>
            </w:r>
          </w:p>
        </w:tc>
      </w:tr>
      <w:tr w:rsidR="00D045BA" w:rsidRPr="002934CD" w:rsidTr="00D045BA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2014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116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color w:val="3366FF"/>
              </w:rPr>
            </w:pPr>
            <w:r>
              <w:rPr>
                <w:rFonts w:ascii="Arial" w:hAnsi="Arial" w:cs="Arial"/>
                <w:color w:val="3366FF"/>
              </w:rPr>
              <w:t xml:space="preserve">88 </w:t>
            </w:r>
            <w:r w:rsidRPr="007D3B31">
              <w:rPr>
                <w:rFonts w:ascii="Arial" w:hAnsi="Arial" w:cs="Arial"/>
                <w:color w:val="000000"/>
              </w:rPr>
              <w:t xml:space="preserve">/ </w:t>
            </w:r>
            <w:r w:rsidRPr="007D3B31">
              <w:rPr>
                <w:rFonts w:ascii="Arial" w:hAnsi="Arial" w:cs="Arial"/>
                <w:color w:val="E36C0A"/>
              </w:rPr>
              <w:t>28</w:t>
            </w:r>
          </w:p>
        </w:tc>
      </w:tr>
      <w:tr w:rsidR="00D045BA" w:rsidRPr="002934CD" w:rsidTr="00674EF4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2015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Default="00D045BA" w:rsidP="00C03D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C03D0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D045BA" w:rsidRDefault="00D045BA" w:rsidP="00C03D0B">
            <w:pPr>
              <w:jc w:val="center"/>
              <w:rPr>
                <w:rFonts w:ascii="Arial" w:hAnsi="Arial" w:cs="Arial"/>
                <w:color w:val="ED7D31" w:themeColor="accent2"/>
              </w:rPr>
            </w:pPr>
            <w:r>
              <w:rPr>
                <w:rFonts w:ascii="Arial" w:hAnsi="Arial" w:cs="Arial"/>
                <w:color w:val="3366FF"/>
              </w:rPr>
              <w:t>9</w:t>
            </w:r>
            <w:r w:rsidR="00C03D0B">
              <w:rPr>
                <w:rFonts w:ascii="Arial" w:hAnsi="Arial" w:cs="Arial"/>
                <w:color w:val="3366FF"/>
              </w:rPr>
              <w:t>1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  <w:color w:val="ED7D31" w:themeColor="accent2"/>
              </w:rPr>
              <w:t>2</w:t>
            </w:r>
            <w:r w:rsidR="00C03D0B">
              <w:rPr>
                <w:rFonts w:ascii="Arial" w:hAnsi="Arial" w:cs="Arial"/>
                <w:color w:val="ED7D31" w:themeColor="accent2"/>
              </w:rPr>
              <w:t>2</w:t>
            </w:r>
          </w:p>
        </w:tc>
      </w:tr>
      <w:tr w:rsidR="00674EF4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674EF4" w:rsidRDefault="00674EF4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2016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4EF4" w:rsidRDefault="00DD045C" w:rsidP="00C03D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134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4EF4" w:rsidRPr="00DD045C" w:rsidRDefault="00DD045C" w:rsidP="00C03D0B">
            <w:pPr>
              <w:jc w:val="center"/>
              <w:rPr>
                <w:rFonts w:ascii="Arial" w:hAnsi="Arial" w:cs="Arial"/>
                <w:color w:val="ED7D31" w:themeColor="accent2"/>
              </w:rPr>
            </w:pPr>
            <w:r>
              <w:rPr>
                <w:rFonts w:ascii="Arial" w:hAnsi="Arial" w:cs="Arial"/>
                <w:color w:val="3366FF"/>
              </w:rPr>
              <w:t xml:space="preserve">99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  <w:color w:val="ED7D31" w:themeColor="accent2"/>
              </w:rPr>
              <w:t>35</w:t>
            </w:r>
          </w:p>
        </w:tc>
      </w:tr>
    </w:tbl>
    <w:p w:rsidR="00D045BA" w:rsidRDefault="00D045BA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D045BA" w:rsidRDefault="00D045BA" w:rsidP="00D045BA">
      <w:pPr>
        <w:ind w:left="1980"/>
      </w:pPr>
    </w:p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941AB8" w:rsidRDefault="00941AB8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  <w:bookmarkStart w:id="0" w:name="_GoBack"/>
      <w:bookmarkEnd w:id="0"/>
    </w:p>
    <w:p w:rsidR="00C03D0B" w:rsidRDefault="00C03D0B" w:rsidP="00C03D0B">
      <w:pPr>
        <w:jc w:val="center"/>
      </w:pPr>
      <w:r w:rsidRPr="000800B3">
        <w:rPr>
          <w:b/>
          <w:u w:val="single"/>
        </w:rPr>
        <w:lastRenderedPageBreak/>
        <w:t>Sebevraždy v Ústeckém kraji v roce 201</w:t>
      </w:r>
      <w:r w:rsidR="00DD045C">
        <w:rPr>
          <w:b/>
          <w:u w:val="single"/>
        </w:rPr>
        <w:t>6</w:t>
      </w:r>
      <w:r w:rsidRPr="000800B3">
        <w:rPr>
          <w:b/>
          <w:u w:val="single"/>
        </w:rPr>
        <w:t xml:space="preserve"> – grafy</w:t>
      </w:r>
    </w:p>
    <w:p w:rsidR="00C03D0B" w:rsidRDefault="00C03D0B" w:rsidP="00C03D0B">
      <w:pPr>
        <w:jc w:val="center"/>
        <w:rPr>
          <w:sz w:val="18"/>
          <w:szCs w:val="18"/>
        </w:rPr>
      </w:pPr>
      <w:r w:rsidRPr="00301F44">
        <w:rPr>
          <w:sz w:val="18"/>
          <w:szCs w:val="18"/>
        </w:rPr>
        <w:t>(</w:t>
      </w:r>
      <w:proofErr w:type="spellStart"/>
      <w:r w:rsidRPr="00301F44">
        <w:rPr>
          <w:sz w:val="18"/>
          <w:szCs w:val="18"/>
        </w:rPr>
        <w:t>zdroj:Policejní</w:t>
      </w:r>
      <w:proofErr w:type="spellEnd"/>
      <w:r w:rsidRPr="00301F44">
        <w:rPr>
          <w:sz w:val="18"/>
          <w:szCs w:val="18"/>
        </w:rPr>
        <w:t xml:space="preserve"> prezidium ČR)</w:t>
      </w:r>
    </w:p>
    <w:p w:rsidR="00C03D0B" w:rsidRDefault="00C03D0B" w:rsidP="00C03D0B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4C4F56" w:rsidRDefault="004C4F56" w:rsidP="004B5E17"/>
    <w:p w:rsidR="004B5E17" w:rsidRDefault="00DD045C" w:rsidP="004B5E17">
      <w:r>
        <w:rPr>
          <w:noProof/>
        </w:rPr>
        <w:drawing>
          <wp:inline distT="0" distB="0" distL="0" distR="0" wp14:anchorId="3E97F77C">
            <wp:extent cx="6517697" cy="401891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398" cy="4045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E17" w:rsidRDefault="004B5E17" w:rsidP="004B5E17"/>
    <w:p w:rsidR="004B5E17" w:rsidRDefault="004B5E17" w:rsidP="004B5E17"/>
    <w:p w:rsidR="00F06C08" w:rsidRDefault="00F06C08" w:rsidP="004B5E17"/>
    <w:p w:rsidR="004B5E17" w:rsidRDefault="004B5E17" w:rsidP="004B5E17"/>
    <w:p w:rsidR="004B5E17" w:rsidRDefault="005B5077" w:rsidP="004B5E17">
      <w:r>
        <w:rPr>
          <w:noProof/>
        </w:rPr>
        <w:drawing>
          <wp:inline distT="0" distB="0" distL="0" distR="0" wp14:anchorId="49254039">
            <wp:extent cx="6506845" cy="4012222"/>
            <wp:effectExtent l="0" t="0" r="825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768" cy="4018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E17" w:rsidRDefault="005B5077" w:rsidP="004B5E17">
      <w:r>
        <w:rPr>
          <w:noProof/>
        </w:rPr>
        <w:lastRenderedPageBreak/>
        <w:drawing>
          <wp:inline distT="0" distB="0" distL="0" distR="0" wp14:anchorId="6F0C24C8">
            <wp:extent cx="6868795" cy="4235406"/>
            <wp:effectExtent l="0" t="0" r="825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082" cy="4247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E17" w:rsidRDefault="004B5E17" w:rsidP="004B5E17"/>
    <w:p w:rsidR="00C03D0B" w:rsidRDefault="00C03D0B" w:rsidP="004B5E17"/>
    <w:p w:rsidR="00C03D0B" w:rsidRDefault="00C03D0B" w:rsidP="004B5E17"/>
    <w:p w:rsidR="00C03D0B" w:rsidRDefault="00C03D0B" w:rsidP="004B5E17"/>
    <w:p w:rsidR="006E6CE1" w:rsidRDefault="006E6CE1" w:rsidP="004B5E17"/>
    <w:p w:rsidR="002C37D6" w:rsidRDefault="005B5077" w:rsidP="004B5E17">
      <w:r>
        <w:rPr>
          <w:noProof/>
        </w:rPr>
        <w:drawing>
          <wp:inline distT="0" distB="0" distL="0" distR="0" wp14:anchorId="504B0538">
            <wp:extent cx="6421120" cy="3959363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071" cy="396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57AE" w:rsidRDefault="005B5077" w:rsidP="004B5E17">
      <w:r>
        <w:rPr>
          <w:noProof/>
        </w:rPr>
        <w:lastRenderedPageBreak/>
        <w:drawing>
          <wp:inline distT="0" distB="0" distL="0" distR="0" wp14:anchorId="1F50177C">
            <wp:extent cx="6850329" cy="4224020"/>
            <wp:effectExtent l="0" t="0" r="825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112" cy="4241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37D6" w:rsidRDefault="002C37D6" w:rsidP="004B5E17"/>
    <w:p w:rsidR="00F06C08" w:rsidRDefault="00F06C08" w:rsidP="004B5E17"/>
    <w:p w:rsidR="006E6CE1" w:rsidRDefault="005B5077" w:rsidP="004B5E17">
      <w:r>
        <w:rPr>
          <w:noProof/>
        </w:rPr>
        <w:drawing>
          <wp:inline distT="0" distB="0" distL="0" distR="0" wp14:anchorId="74824BB5" wp14:editId="2787ED21">
            <wp:extent cx="6610350" cy="5010150"/>
            <wp:effectExtent l="0" t="0" r="0" b="0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C57AE" w:rsidRDefault="007C57AE" w:rsidP="004B5E17"/>
    <w:p w:rsidR="007C57AE" w:rsidRDefault="003267C4" w:rsidP="002C37D6">
      <w:pPr>
        <w:jc w:val="center"/>
      </w:pPr>
      <w:r>
        <w:rPr>
          <w:noProof/>
        </w:rPr>
        <w:lastRenderedPageBreak/>
        <w:drawing>
          <wp:inline distT="0" distB="0" distL="0" distR="0" wp14:anchorId="2D9BEEF9" wp14:editId="211CDBF2">
            <wp:extent cx="6543675" cy="4371975"/>
            <wp:effectExtent l="0" t="0" r="0" b="0"/>
            <wp:docPr id="26" name="Graf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C37D6" w:rsidRDefault="002C37D6" w:rsidP="004B5E17"/>
    <w:p w:rsidR="002C37D6" w:rsidRDefault="002C37D6" w:rsidP="004B5E17"/>
    <w:p w:rsidR="002C37D6" w:rsidRDefault="0045762F" w:rsidP="004B5E17">
      <w:r>
        <w:rPr>
          <w:noProof/>
        </w:rPr>
        <w:drawing>
          <wp:inline distT="0" distB="0" distL="0" distR="0" wp14:anchorId="71631C53" wp14:editId="02429491">
            <wp:extent cx="6645910" cy="4905375"/>
            <wp:effectExtent l="0" t="0" r="254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C37D6" w:rsidRDefault="002C37D6" w:rsidP="004B5E17"/>
    <w:p w:rsidR="002C37D6" w:rsidRDefault="0045762F" w:rsidP="004B5E17">
      <w:r>
        <w:rPr>
          <w:noProof/>
        </w:rPr>
        <w:drawing>
          <wp:inline distT="0" distB="0" distL="0" distR="0" wp14:anchorId="3F712489" wp14:editId="51BE3B89">
            <wp:extent cx="6645910" cy="4705350"/>
            <wp:effectExtent l="0" t="0" r="0" b="0"/>
            <wp:docPr id="28" name="Graf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sectPr w:rsidR="002C37D6" w:rsidSect="00C03D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B7"/>
    <w:rsid w:val="002C37D6"/>
    <w:rsid w:val="003267C4"/>
    <w:rsid w:val="0045762F"/>
    <w:rsid w:val="00480163"/>
    <w:rsid w:val="004B5E17"/>
    <w:rsid w:val="004C4F56"/>
    <w:rsid w:val="005B5077"/>
    <w:rsid w:val="00674EF4"/>
    <w:rsid w:val="006E6CE1"/>
    <w:rsid w:val="007951CF"/>
    <w:rsid w:val="007C57AE"/>
    <w:rsid w:val="008763E2"/>
    <w:rsid w:val="00941AB8"/>
    <w:rsid w:val="00A7525C"/>
    <w:rsid w:val="00B05BB7"/>
    <w:rsid w:val="00B80FB6"/>
    <w:rsid w:val="00C03D0B"/>
    <w:rsid w:val="00C06212"/>
    <w:rsid w:val="00C323EF"/>
    <w:rsid w:val="00D045BA"/>
    <w:rsid w:val="00DD045C"/>
    <w:rsid w:val="00F06C08"/>
    <w:rsid w:val="00F4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307E"/>
  <w15:chartTrackingRefBased/>
  <w15:docId w15:val="{4A83454A-A602-47FB-95F5-A839A189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04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hart" Target="charts/chart3.xml"/><Relationship Id="rId5" Type="http://schemas.openxmlformats.org/officeDocument/2006/relationships/image" Target="media/image2.png"/><Relationship Id="rId10" Type="http://schemas.openxmlformats.org/officeDocument/2006/relationships/chart" Target="charts/chart2.xml"/><Relationship Id="rId4" Type="http://schemas.openxmlformats.org/officeDocument/2006/relationships/image" Target="media/image1.png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Excel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://essk.pcr.cz/essk/_SEBEVRAZDY/16/Sebevra&#382;dyGrafDleZp&#367;sobu.xls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http://essk.pcr.cz/essk/_SEBEVRAZDY/16/Sebevra&#382;dyGrafDleMotivu.xls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 b="1" i="0" baseline="0">
                <a:latin typeface="Arial" panose="020B0604020202020204" pitchFamily="34" charset="0"/>
              </a:defRPr>
            </a:pPr>
            <a:r>
              <a:rPr lang="cs-CZ" sz="800" b="1" i="0" baseline="0">
                <a:latin typeface="Arial" panose="020B0604020202020204" pitchFamily="34" charset="0"/>
              </a:rPr>
              <a:t>SEBEVRAŽDY PODLE NEPRACUJÍCÍCH - Ústecký kraj 2016</a:t>
            </a:r>
          </a:p>
        </c:rich>
      </c:tx>
      <c:layout>
        <c:manualLayout>
          <c:xMode val="edge"/>
          <c:yMode val="edge"/>
          <c:x val="0.31106471816283926"/>
          <c:y val="2.03045685279187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3.7578288100208766E-2"/>
          <c:y val="8.9902001243555241E-2"/>
          <c:w val="0.93682089881012387"/>
          <c:h val="0.490507221568948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List10!$C$1</c:f>
              <c:strCache>
                <c:ptCount val="1"/>
                <c:pt idx="0">
                  <c:v>NEPRACUJÍCÍCH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List10!$B$2:$B$12</c:f>
              <c:strCache>
                <c:ptCount val="11"/>
                <c:pt idx="0">
                  <c:v>neurčeno                                          </c:v>
                </c:pt>
                <c:pt idx="1">
                  <c:v>žáci a studenti                                   </c:v>
                </c:pt>
                <c:pt idx="2">
                  <c:v>voják základní služby                             </c:v>
                </c:pt>
                <c:pt idx="3">
                  <c:v>žena/muž v domácnosti                             </c:v>
                </c:pt>
                <c:pt idx="4">
                  <c:v>invalidní důchodce                                </c:v>
                </c:pt>
                <c:pt idx="5">
                  <c:v>starobní důchodce                                 </c:v>
                </c:pt>
                <c:pt idx="6">
                  <c:v>bez pracovního poměru                             </c:v>
                </c:pt>
                <c:pt idx="7">
                  <c:v>regist. jako uchazeč na úřadu práce               </c:v>
                </c:pt>
                <c:pt idx="8">
                  <c:v>sexuálně výdělečně činný                          </c:v>
                </c:pt>
                <c:pt idx="9">
                  <c:v>ve výkonu trestu, vazbě                           </c:v>
                </c:pt>
                <c:pt idx="10">
                  <c:v>bez zaměstnání                                    </c:v>
                </c:pt>
              </c:strCache>
            </c:strRef>
          </c:cat>
          <c:val>
            <c:numRef>
              <c:f>List10!$C$2:$C$12</c:f>
              <c:numCache>
                <c:formatCode>General</c:formatCode>
                <c:ptCount val="11"/>
                <c:pt idx="0">
                  <c:v>0</c:v>
                </c:pt>
                <c:pt idx="1">
                  <c:v>5</c:v>
                </c:pt>
                <c:pt idx="2">
                  <c:v>0</c:v>
                </c:pt>
                <c:pt idx="3">
                  <c:v>0</c:v>
                </c:pt>
                <c:pt idx="4">
                  <c:v>9</c:v>
                </c:pt>
                <c:pt idx="5">
                  <c:v>32</c:v>
                </c:pt>
                <c:pt idx="6">
                  <c:v>11</c:v>
                </c:pt>
                <c:pt idx="7">
                  <c:v>2</c:v>
                </c:pt>
                <c:pt idx="8">
                  <c:v>0</c:v>
                </c:pt>
                <c:pt idx="9">
                  <c:v>1</c:v>
                </c:pt>
                <c:pt idx="1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15-4C3C-8592-3891C350FD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8680592"/>
        <c:axId val="1"/>
      </c:barChart>
      <c:catAx>
        <c:axId val="958680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5400000" vert="horz"/>
          <a:lstStyle/>
          <a:p>
            <a:pPr>
              <a:defRPr/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cs-CZ"/>
          </a:p>
        </c:txPr>
        <c:crossAx val="958680592"/>
        <c:crosses val="autoZero"/>
        <c:crossBetween val="between"/>
      </c:valAx>
      <c:spPr>
        <a:solidFill>
          <a:srgbClr val="FFFFFF"/>
        </a:solidFill>
        <a:ln w="381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cs-CZ" sz="800" b="1" i="0" baseline="0"/>
              <a:t>SEBEVRAŽDY PODLE ZAMĚSTNÁNÍ - Ústecký kraj 2016</a:t>
            </a:r>
          </a:p>
        </c:rich>
      </c:tx>
      <c:layout>
        <c:manualLayout>
          <c:xMode val="edge"/>
          <c:yMode val="edge"/>
          <c:x val="0.32150313152400833"/>
          <c:y val="2.03045685279187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845511482254697E-2"/>
          <c:y val="0.11505922165820642"/>
          <c:w val="0.93110647181628392"/>
          <c:h val="0.60744503248569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List10!$C$1</c:f>
              <c:strCache>
                <c:ptCount val="1"/>
                <c:pt idx="0">
                  <c:v>ZAMĚSTNÁNÍ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List10!$B$2:$B$14</c:f>
              <c:strCache>
                <c:ptCount val="13"/>
                <c:pt idx="0">
                  <c:v>nepracující, dítě                                 </c:v>
                </c:pt>
                <c:pt idx="1">
                  <c:v>vedoucí a řídící pracovník                        </c:v>
                </c:pt>
                <c:pt idx="2">
                  <c:v>vědecký a odb. duš. pracovník                     </c:v>
                </c:pt>
                <c:pt idx="3">
                  <c:v>tech., zdrav. a ped. pracovník                    </c:v>
                </c:pt>
                <c:pt idx="4">
                  <c:v>nižší administrativní pracovník                   </c:v>
                </c:pt>
                <c:pt idx="5">
                  <c:v>samostatně činná osoba                            </c:v>
                </c:pt>
                <c:pt idx="6">
                  <c:v>zemědělec i soukromý                              </c:v>
                </c:pt>
                <c:pt idx="7">
                  <c:v>veřejný činitel                                   </c:v>
                </c:pt>
                <c:pt idx="8">
                  <c:v>příslušník ozbr. sil, sborů apod.                 </c:v>
                </c:pt>
                <c:pt idx="9">
                  <c:v>dělník                                            </c:v>
                </c:pt>
                <c:pt idx="10">
                  <c:v>umělec                                            </c:v>
                </c:pt>
                <c:pt idx="11">
                  <c:v>nezjištěno                                        </c:v>
                </c:pt>
                <c:pt idx="12">
                  <c:v>ostatní pracující                                 </c:v>
                </c:pt>
              </c:strCache>
            </c:strRef>
          </c:cat>
          <c:val>
            <c:numRef>
              <c:f>List10!$C$2:$C$14</c:f>
              <c:numCache>
                <c:formatCode>General</c:formatCode>
                <c:ptCount val="13"/>
                <c:pt idx="0">
                  <c:v>83</c:v>
                </c:pt>
                <c:pt idx="1">
                  <c:v>2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15</c:v>
                </c:pt>
                <c:pt idx="10">
                  <c:v>0</c:v>
                </c:pt>
                <c:pt idx="11">
                  <c:v>9</c:v>
                </c:pt>
                <c:pt idx="1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61-45CA-BDA7-F63B1700DD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284143"/>
        <c:axId val="1"/>
      </c:barChart>
      <c:catAx>
        <c:axId val="21228414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54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212284143"/>
        <c:crosses val="autoZero"/>
        <c:crossBetween val="between"/>
      </c:valAx>
      <c:spPr>
        <a:solidFill>
          <a:srgbClr val="FFFFFF"/>
        </a:solidFill>
        <a:ln w="381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cs-CZ" sz="800" b="1" i="0" baseline="0"/>
              <a:t>SEBEVRAŽDY PODLE ZPŮSOBU - Ústecký kraj 2016</a:t>
            </a:r>
          </a:p>
        </c:rich>
      </c:tx>
      <c:layout>
        <c:manualLayout>
          <c:xMode val="edge"/>
          <c:yMode val="edge"/>
          <c:x val="0.33194154488517746"/>
          <c:y val="2.03045685279187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1581935355730068E-2"/>
          <c:y val="6.238054554031186E-2"/>
          <c:w val="0.92709055804314722"/>
          <c:h val="0.519458539330545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[SebevraždyGrafDleZpůsobu.xls]List10!$C$1</c:f>
              <c:strCache>
                <c:ptCount val="1"/>
                <c:pt idx="0">
                  <c:v>ZPŮSOBU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[SebevraždyGrafDleZpůsobu.xls]List10!$B$2:$B$21</c:f>
              <c:strCache>
                <c:ptCount val="20"/>
                <c:pt idx="0">
                  <c:v>jiným způsobem                                    </c:v>
                </c:pt>
                <c:pt idx="1">
                  <c:v>oběšením, udušením, uškrcením                     </c:v>
                </c:pt>
                <c:pt idx="2">
                  <c:v>zastřelením služební zbraní                       </c:v>
                </c:pt>
                <c:pt idx="3">
                  <c:v>zastřelením legálně drženou zbraní                </c:v>
                </c:pt>
                <c:pt idx="4">
                  <c:v>zastřelením nellegálně drženou zbraní             </c:v>
                </c:pt>
                <c:pt idx="5">
                  <c:v>zastřelením nezjištěnou zbraní                    </c:v>
                </c:pt>
                <c:pt idx="6">
                  <c:v>utopením                                          </c:v>
                </c:pt>
                <c:pt idx="7">
                  <c:v>otrava plynem                                     </c:v>
                </c:pt>
                <c:pt idx="8">
                  <c:v>otrava jedy                                       </c:v>
                </c:pt>
                <c:pt idx="9">
                  <c:v>sečnou zbraní                                     </c:v>
                </c:pt>
                <c:pt idx="10">
                  <c:v>výbušninou                                        </c:v>
                </c:pt>
                <c:pt idx="11">
                  <c:v>skokem , lehnutím pod pohybující se  objekt       </c:v>
                </c:pt>
                <c:pt idx="12">
                  <c:v>skokem z výšky                                    </c:v>
                </c:pt>
                <c:pt idx="13">
                  <c:v>drogou nebo léky                                  </c:v>
                </c:pt>
                <c:pt idx="14">
                  <c:v>úmyslnou havárií                                  </c:v>
                </c:pt>
                <c:pt idx="15">
                  <c:v>upálením                                          </c:v>
                </c:pt>
                <c:pt idx="16">
                  <c:v>skokem z mostu                                    </c:v>
                </c:pt>
                <c:pt idx="17">
                  <c:v>skokem z okna                                     </c:v>
                </c:pt>
                <c:pt idx="18">
                  <c:v>skokem z přírodního útvaru                        </c:v>
                </c:pt>
                <c:pt idx="19">
                  <c:v>podřezáním                                        </c:v>
                </c:pt>
              </c:strCache>
            </c:strRef>
          </c:cat>
          <c:val>
            <c:numRef>
              <c:f>[SebevraždyGrafDleZpůsobu.xls]List10!$C$2:$C$21</c:f>
              <c:numCache>
                <c:formatCode>General</c:formatCode>
                <c:ptCount val="20"/>
                <c:pt idx="0">
                  <c:v>1</c:v>
                </c:pt>
                <c:pt idx="1">
                  <c:v>50</c:v>
                </c:pt>
                <c:pt idx="2">
                  <c:v>0</c:v>
                </c:pt>
                <c:pt idx="3">
                  <c:v>5</c:v>
                </c:pt>
                <c:pt idx="4">
                  <c:v>8</c:v>
                </c:pt>
                <c:pt idx="5">
                  <c:v>0</c:v>
                </c:pt>
                <c:pt idx="6">
                  <c:v>1</c:v>
                </c:pt>
                <c:pt idx="7">
                  <c:v>4</c:v>
                </c:pt>
                <c:pt idx="8">
                  <c:v>3</c:v>
                </c:pt>
                <c:pt idx="9">
                  <c:v>1</c:v>
                </c:pt>
                <c:pt idx="10">
                  <c:v>0</c:v>
                </c:pt>
                <c:pt idx="11">
                  <c:v>17</c:v>
                </c:pt>
                <c:pt idx="12">
                  <c:v>2</c:v>
                </c:pt>
                <c:pt idx="13">
                  <c:v>8</c:v>
                </c:pt>
                <c:pt idx="14">
                  <c:v>2</c:v>
                </c:pt>
                <c:pt idx="15">
                  <c:v>1</c:v>
                </c:pt>
                <c:pt idx="16">
                  <c:v>0</c:v>
                </c:pt>
                <c:pt idx="17">
                  <c:v>13</c:v>
                </c:pt>
                <c:pt idx="18">
                  <c:v>2</c:v>
                </c:pt>
                <c:pt idx="1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66-4369-AA72-07A5EC8015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00061920"/>
        <c:axId val="1"/>
      </c:barChart>
      <c:catAx>
        <c:axId val="1900061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54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900061920"/>
        <c:crosses val="autoZero"/>
        <c:crossBetween val="between"/>
      </c:valAx>
      <c:spPr>
        <a:solidFill>
          <a:srgbClr val="FFFFFF"/>
        </a:solidFill>
        <a:ln w="381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 b="1" i="0" baseline="0"/>
            </a:pPr>
            <a:r>
              <a:rPr lang="cs-CZ" sz="800" b="1" i="0" baseline="0"/>
              <a:t>SEBEVRAŽDY PODLE MOTIVU - Ústecký kraj 2016</a:t>
            </a:r>
          </a:p>
        </c:rich>
      </c:tx>
      <c:layout>
        <c:manualLayout>
          <c:xMode val="edge"/>
          <c:yMode val="edge"/>
          <c:x val="0.33820459290187893"/>
          <c:y val="2.03045685279187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9440302381464689E-2"/>
          <c:y val="0.10576683987376072"/>
          <c:w val="0.90292275574112735"/>
          <c:h val="0.565143852914312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[SebevraždyGrafDleMotivu.xls]List10!$C$1</c:f>
              <c:strCache>
                <c:ptCount val="1"/>
                <c:pt idx="0">
                  <c:v>MOTIVU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[SebevraždyGrafDleMotivu.xls]List10!$B$2:$B$15</c:f>
              <c:strCache>
                <c:ptCount val="14"/>
                <c:pt idx="0">
                  <c:v>bez zjištěné motivace                             </c:v>
                </c:pt>
                <c:pt idx="1">
                  <c:v>konflikty a problémy rodinné                      </c:v>
                </c:pt>
                <c:pt idx="2">
                  <c:v>konflikty a problémy  sex. či vztahové            </c:v>
                </c:pt>
                <c:pt idx="3">
                  <c:v>konflikty a problémy pracovní                     </c:v>
                </c:pt>
                <c:pt idx="4">
                  <c:v>konflikty a problémy školní                       </c:v>
                </c:pt>
                <c:pt idx="5">
                  <c:v>konflikty a problémy existenční                   </c:v>
                </c:pt>
                <c:pt idx="6">
                  <c:v>politický                                         </c:v>
                </c:pt>
                <c:pt idx="7">
                  <c:v>náboženský                                        </c:v>
                </c:pt>
                <c:pt idx="8">
                  <c:v>obava z trestního stíhání                         </c:v>
                </c:pt>
                <c:pt idx="9">
                  <c:v>duševní onemocnění                                </c:v>
                </c:pt>
                <c:pt idx="10">
                  <c:v>fyzické onemocnění                                </c:v>
                </c:pt>
                <c:pt idx="11">
                  <c:v>náhlá deprese                                     </c:v>
                </c:pt>
                <c:pt idx="12">
                  <c:v>psychické problémy                                </c:v>
                </c:pt>
                <c:pt idx="13">
                  <c:v>jiná motivace                                     </c:v>
                </c:pt>
              </c:strCache>
            </c:strRef>
          </c:cat>
          <c:val>
            <c:numRef>
              <c:f>[SebevraždyGrafDleMotivu.xls]List10!$C$2:$C$15</c:f>
              <c:numCache>
                <c:formatCode>General</c:formatCode>
                <c:ptCount val="14"/>
                <c:pt idx="0">
                  <c:v>14</c:v>
                </c:pt>
                <c:pt idx="1">
                  <c:v>10</c:v>
                </c:pt>
                <c:pt idx="2">
                  <c:v>5</c:v>
                </c:pt>
                <c:pt idx="3">
                  <c:v>2</c:v>
                </c:pt>
                <c:pt idx="4">
                  <c:v>2</c:v>
                </c:pt>
                <c:pt idx="5">
                  <c:v>16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14</c:v>
                </c:pt>
                <c:pt idx="10">
                  <c:v>17</c:v>
                </c:pt>
                <c:pt idx="11">
                  <c:v>6</c:v>
                </c:pt>
                <c:pt idx="12">
                  <c:v>24</c:v>
                </c:pt>
                <c:pt idx="1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49-4DE8-8190-C122E7CB06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6860400"/>
        <c:axId val="1"/>
      </c:barChart>
      <c:catAx>
        <c:axId val="406860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5400000" vert="horz"/>
          <a:lstStyle/>
          <a:p>
            <a:pPr>
              <a:defRPr/>
            </a:pPr>
            <a:endParaRPr lang="cs-CZ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cs-CZ"/>
          </a:p>
        </c:txPr>
        <c:crossAx val="406860400"/>
        <c:crosses val="autoZero"/>
        <c:crossBetween val="between"/>
      </c:valAx>
      <c:spPr>
        <a:solidFill>
          <a:srgbClr val="FFFFFF"/>
        </a:solidFill>
        <a:ln w="381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POLÁČKOVÁ Šárka</dc:creator>
  <cp:keywords/>
  <dc:description/>
  <cp:lastModifiedBy>POLÁČKOVÁ Šárka</cp:lastModifiedBy>
  <cp:revision>4</cp:revision>
  <dcterms:created xsi:type="dcterms:W3CDTF">2017-10-11T05:08:00Z</dcterms:created>
  <dcterms:modified xsi:type="dcterms:W3CDTF">2017-10-11T07:01:00Z</dcterms:modified>
</cp:coreProperties>
</file>