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7F0" w:rsidRDefault="00E613CF" w:rsidP="0074373E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Použití služební zbraně</w:t>
      </w:r>
    </w:p>
    <w:p w:rsidR="00CE50EE" w:rsidRPr="0005214D" w:rsidRDefault="00CE50EE" w:rsidP="0074373E">
      <w:pPr>
        <w:spacing w:after="0" w:line="240" w:lineRule="auto"/>
        <w:jc w:val="both"/>
        <w:rPr>
          <w:rFonts w:ascii="Arial" w:hAnsi="Arial" w:cs="Arial"/>
          <w:b/>
        </w:rPr>
      </w:pPr>
    </w:p>
    <w:p w:rsidR="00651152" w:rsidRPr="0005214D" w:rsidRDefault="00651152" w:rsidP="0074373E">
      <w:pPr>
        <w:spacing w:after="0" w:line="240" w:lineRule="auto"/>
        <w:jc w:val="both"/>
        <w:rPr>
          <w:rFonts w:ascii="Arial" w:hAnsi="Arial" w:cs="Arial"/>
          <w:b/>
        </w:rPr>
      </w:pPr>
    </w:p>
    <w:p w:rsidR="002D07F0" w:rsidRPr="0005214D" w:rsidRDefault="002D07F0" w:rsidP="0074373E">
      <w:pPr>
        <w:spacing w:after="0" w:line="240" w:lineRule="auto"/>
        <w:jc w:val="both"/>
        <w:rPr>
          <w:rFonts w:ascii="Arial" w:hAnsi="Arial" w:cs="Arial"/>
        </w:rPr>
      </w:pPr>
      <w:r w:rsidRPr="0005214D">
        <w:rPr>
          <w:rFonts w:ascii="Arial" w:hAnsi="Arial" w:cs="Arial"/>
        </w:rPr>
        <w:t>Zveřejnění podle ustanovení § 5 odst. 3 zákona č. 106/1999 Sb.</w:t>
      </w:r>
    </w:p>
    <w:p w:rsidR="00651152" w:rsidRPr="0005214D" w:rsidRDefault="00651152" w:rsidP="0074373E">
      <w:pPr>
        <w:spacing w:after="0" w:line="240" w:lineRule="auto"/>
        <w:jc w:val="both"/>
        <w:rPr>
          <w:rFonts w:ascii="Arial" w:hAnsi="Arial" w:cs="Arial"/>
        </w:rPr>
      </w:pPr>
    </w:p>
    <w:p w:rsidR="00807457" w:rsidRDefault="00E0431C" w:rsidP="0074373E">
      <w:pPr>
        <w:spacing w:after="0" w:line="240" w:lineRule="auto"/>
        <w:jc w:val="both"/>
        <w:rPr>
          <w:rFonts w:ascii="Arial" w:hAnsi="Arial" w:cs="Arial"/>
        </w:rPr>
      </w:pPr>
      <w:r w:rsidRPr="0005214D">
        <w:rPr>
          <w:rFonts w:ascii="Arial" w:hAnsi="Arial" w:cs="Arial"/>
        </w:rPr>
        <w:t>Žadatel</w:t>
      </w:r>
      <w:r w:rsidR="00A43D4C" w:rsidRPr="0005214D">
        <w:rPr>
          <w:rFonts w:ascii="Arial" w:hAnsi="Arial" w:cs="Arial"/>
        </w:rPr>
        <w:t xml:space="preserve"> požadoval poskytnutí následujících informací: </w:t>
      </w:r>
    </w:p>
    <w:p w:rsidR="00CE50EE" w:rsidRPr="0005214D" w:rsidRDefault="00CE50EE" w:rsidP="0074373E">
      <w:pPr>
        <w:spacing w:after="0" w:line="240" w:lineRule="auto"/>
        <w:jc w:val="both"/>
        <w:rPr>
          <w:rFonts w:ascii="Arial" w:hAnsi="Arial" w:cs="Arial"/>
        </w:rPr>
      </w:pPr>
    </w:p>
    <w:p w:rsidR="00807457" w:rsidRPr="00FE73D0" w:rsidRDefault="00807457" w:rsidP="00FE73D0">
      <w:pPr>
        <w:spacing w:after="0" w:line="240" w:lineRule="auto"/>
        <w:jc w:val="both"/>
        <w:rPr>
          <w:rFonts w:ascii="Arial" w:hAnsi="Arial" w:cs="Arial"/>
        </w:rPr>
      </w:pPr>
    </w:p>
    <w:p w:rsidR="00E613CF" w:rsidRPr="00360F8E" w:rsidRDefault="00E613CF" w:rsidP="00E613CF">
      <w:pPr>
        <w:pStyle w:val="Default"/>
        <w:jc w:val="both"/>
        <w:rPr>
          <w:i/>
          <w:sz w:val="22"/>
          <w:szCs w:val="22"/>
        </w:rPr>
      </w:pPr>
      <w:r w:rsidRPr="00360F8E">
        <w:rPr>
          <w:sz w:val="22"/>
          <w:szCs w:val="22"/>
        </w:rPr>
        <w:t>„</w:t>
      </w:r>
      <w:r w:rsidRPr="00360F8E">
        <w:rPr>
          <w:i/>
          <w:sz w:val="22"/>
          <w:szCs w:val="22"/>
        </w:rPr>
        <w:t>1. Kolik případů použití služební střelné zbraně příslušníkem PČR bylo za každý rok v uvedeném</w:t>
      </w:r>
      <w:r w:rsidRPr="00360F8E">
        <w:rPr>
          <w:sz w:val="22"/>
          <w:szCs w:val="22"/>
        </w:rPr>
        <w:t xml:space="preserve"> </w:t>
      </w:r>
      <w:r w:rsidRPr="00360F8E">
        <w:rPr>
          <w:i/>
          <w:sz w:val="22"/>
          <w:szCs w:val="22"/>
        </w:rPr>
        <w:t xml:space="preserve">období oprávněných a kolik neoprávněných?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>2. Rozdělení oprávněných i neoprávněných případů použití slu</w:t>
      </w:r>
      <w:r>
        <w:rPr>
          <w:rFonts w:cs="Arial"/>
          <w:i/>
          <w:color w:val="000000"/>
        </w:rPr>
        <w:t>žební zbraně příslušníkem PČR v </w:t>
      </w:r>
      <w:r w:rsidRPr="00360F8E">
        <w:rPr>
          <w:rFonts w:cs="Arial"/>
          <w:i/>
          <w:color w:val="000000"/>
        </w:rPr>
        <w:t xml:space="preserve">rámci jednotlivých Krajských ředitelstvích policie? </w:t>
      </w:r>
    </w:p>
    <w:p w:rsidR="00E613CF" w:rsidRDefault="00E613CF" w:rsidP="00E613CF">
      <w:pPr>
        <w:autoSpaceDE w:val="0"/>
        <w:autoSpaceDN w:val="0"/>
        <w:adjustRightInd w:val="0"/>
        <w:spacing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3. S odkazem na § 56 zákona o PČR č. 273/2008 Sb. - v kolika případech byla služební střelná zbraň příslušníkem PČR použita proti: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a. nebezpečnému pachateli? </w:t>
      </w:r>
    </w:p>
    <w:p w:rsidR="00E613CF" w:rsidRPr="00360F8E" w:rsidRDefault="00E613CF" w:rsidP="00E613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b. vozidlu? </w:t>
      </w:r>
    </w:p>
    <w:p w:rsidR="00E613CF" w:rsidRPr="0092037E" w:rsidRDefault="00E613CF" w:rsidP="00E613CF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c. zvířeti?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4. V kolika případech došlo k úmrtí osoby?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>5. Na jakém z uvedených oddělení dochází nejčastěji (prosím i dr</w:t>
      </w:r>
      <w:r>
        <w:rPr>
          <w:rFonts w:cs="Arial"/>
          <w:i/>
          <w:color w:val="000000"/>
        </w:rPr>
        <w:t>uhé a třetí místo v četnosti) k </w:t>
      </w:r>
      <w:r w:rsidRPr="00360F8E">
        <w:rPr>
          <w:rFonts w:cs="Arial"/>
          <w:i/>
          <w:color w:val="000000"/>
        </w:rPr>
        <w:t xml:space="preserve">použití služební střelné zbraně: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1. Oddělení hlídkové služby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2. Obvodní oddělení policie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3. Dopravní policie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4. Služba kriminální policie a vyšetřování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5. Zásahová jednotka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6. URNA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7. Oddělení zbraní a střeliva </w:t>
      </w:r>
    </w:p>
    <w:p w:rsidR="00E613CF" w:rsidRDefault="00E613CF" w:rsidP="00E613CF">
      <w:pPr>
        <w:autoSpaceDE w:val="0"/>
        <w:autoSpaceDN w:val="0"/>
        <w:adjustRightInd w:val="0"/>
        <w:spacing w:line="240" w:lineRule="auto"/>
        <w:ind w:left="708" w:firstLine="708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8. Oddělení služební kynologie a hipologie </w:t>
      </w:r>
    </w:p>
    <w:p w:rsidR="00E613CF" w:rsidRPr="00360F8E" w:rsidRDefault="00E613CF" w:rsidP="00E613CF">
      <w:pPr>
        <w:autoSpaceDE w:val="0"/>
        <w:autoSpaceDN w:val="0"/>
        <w:adjustRightInd w:val="0"/>
        <w:spacing w:line="240" w:lineRule="auto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6. S odkazem na § 52 zákona o PČR č. 273/2008 Sb. v kolika případech došlo k použití služební střelné zbraně příslušníkem PCŘ ve formě: a. varovný výstřel </w:t>
      </w:r>
    </w:p>
    <w:p w:rsidR="00E613CF" w:rsidRPr="00360F8E" w:rsidRDefault="00E613CF" w:rsidP="00E613CF">
      <w:pPr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 xml:space="preserve">b. úder střelnou zbraní </w:t>
      </w:r>
    </w:p>
    <w:p w:rsidR="00E613CF" w:rsidRPr="00360F8E" w:rsidRDefault="00E613CF" w:rsidP="00E613CF">
      <w:pPr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  <w:i/>
          <w:color w:val="000000"/>
        </w:rPr>
      </w:pPr>
      <w:r w:rsidRPr="00360F8E">
        <w:rPr>
          <w:rFonts w:cs="Arial"/>
          <w:i/>
          <w:color w:val="000000"/>
        </w:rPr>
        <w:t>c. hrozba namířenou střelnou zbraní</w:t>
      </w:r>
      <w:r w:rsidRPr="00360F8E">
        <w:rPr>
          <w:rFonts w:cs="Arial"/>
          <w:color w:val="000000"/>
        </w:rPr>
        <w:t>“</w:t>
      </w:r>
    </w:p>
    <w:p w:rsidR="00E613CF" w:rsidRDefault="00E613CF" w:rsidP="00E613CF">
      <w:pPr>
        <w:spacing w:line="240" w:lineRule="auto"/>
        <w:jc w:val="both"/>
        <w:rPr>
          <w:rFonts w:cs="Arial"/>
        </w:rPr>
      </w:pPr>
    </w:p>
    <w:p w:rsidR="00E613CF" w:rsidRDefault="00E613CF" w:rsidP="00E613CF">
      <w:pPr>
        <w:spacing w:line="240" w:lineRule="auto"/>
        <w:jc w:val="both"/>
        <w:rPr>
          <w:rFonts w:cs="Arial"/>
        </w:rPr>
      </w:pPr>
    </w:p>
    <w:p w:rsidR="00E613CF" w:rsidRDefault="00E613CF" w:rsidP="00E613CF">
      <w:pPr>
        <w:spacing w:line="240" w:lineRule="auto"/>
        <w:jc w:val="both"/>
        <w:rPr>
          <w:rFonts w:cs="Arial"/>
        </w:rPr>
      </w:pPr>
      <w:r w:rsidRPr="00700243">
        <w:rPr>
          <w:rFonts w:cs="Arial"/>
        </w:rPr>
        <w:t xml:space="preserve">Policie České republiky jako povinný subjekt podle § 2 odst. 1 zákona č. 106/1999 Sb. žádost posoudila a </w:t>
      </w:r>
      <w:r>
        <w:rPr>
          <w:rFonts w:cs="Arial"/>
        </w:rPr>
        <w:t>k jednotlivým otázkám po</w:t>
      </w:r>
      <w:r w:rsidR="00FC7B23">
        <w:rPr>
          <w:rFonts w:cs="Arial"/>
        </w:rPr>
        <w:t>skytla žadateli</w:t>
      </w:r>
      <w:r>
        <w:rPr>
          <w:rFonts w:cs="Arial"/>
        </w:rPr>
        <w:t xml:space="preserve"> následující informace:</w:t>
      </w:r>
    </w:p>
    <w:p w:rsidR="00E613CF" w:rsidRDefault="00E613CF" w:rsidP="00E613CF">
      <w:pPr>
        <w:spacing w:line="240" w:lineRule="auto"/>
        <w:jc w:val="both"/>
        <w:rPr>
          <w:rFonts w:cs="Arial"/>
        </w:rPr>
      </w:pPr>
    </w:p>
    <w:p w:rsidR="00E613CF" w:rsidRPr="00E2534F" w:rsidRDefault="00E613CF" w:rsidP="00E613CF">
      <w:pPr>
        <w:spacing w:line="240" w:lineRule="auto"/>
        <w:jc w:val="both"/>
        <w:rPr>
          <w:rFonts w:cs="Arial"/>
          <w:b/>
        </w:rPr>
      </w:pPr>
      <w:r w:rsidRPr="00A33EAF">
        <w:rPr>
          <w:rFonts w:cs="Arial"/>
          <w:b/>
        </w:rPr>
        <w:t>Ad 1.:</w:t>
      </w:r>
    </w:p>
    <w:p w:rsidR="00E613CF" w:rsidRDefault="00E613CF" w:rsidP="00E613CF">
      <w:pPr>
        <w:spacing w:line="240" w:lineRule="auto"/>
        <w:jc w:val="both"/>
        <w:rPr>
          <w:b/>
        </w:rPr>
      </w:pPr>
      <w:r>
        <w:t>Ve všech případech použití střelné služební zbraně bylo služebními funkcionáři vyhodnoceno jako oprávněné. Počty případů jsou uvedeny v </w:t>
      </w:r>
      <w:r w:rsidRPr="00E613CF">
        <w:t xml:space="preserve">tabulce </w:t>
      </w:r>
      <w:r w:rsidRPr="00E613CF">
        <w:rPr>
          <w:b/>
        </w:rPr>
        <w:t>použití zbraně.</w:t>
      </w:r>
    </w:p>
    <w:p w:rsidR="00E613CF" w:rsidRDefault="00E613CF" w:rsidP="00E613CF">
      <w:pPr>
        <w:spacing w:line="240" w:lineRule="auto"/>
        <w:jc w:val="both"/>
        <w:rPr>
          <w:b/>
        </w:rPr>
      </w:pPr>
    </w:p>
    <w:p w:rsidR="00E613CF" w:rsidRDefault="00E613CF" w:rsidP="00E613CF">
      <w:pPr>
        <w:spacing w:line="240" w:lineRule="auto"/>
        <w:jc w:val="both"/>
        <w:rPr>
          <w:b/>
        </w:rPr>
      </w:pPr>
      <w:r>
        <w:rPr>
          <w:b/>
        </w:rPr>
        <w:t xml:space="preserve">Ad 2.: </w:t>
      </w:r>
    </w:p>
    <w:p w:rsidR="00E613CF" w:rsidRDefault="00E613CF" w:rsidP="00E613CF">
      <w:pPr>
        <w:spacing w:line="240" w:lineRule="auto"/>
        <w:jc w:val="both"/>
        <w:rPr>
          <w:b/>
        </w:rPr>
      </w:pPr>
    </w:p>
    <w:tbl>
      <w:tblPr>
        <w:tblW w:w="6570" w:type="dxa"/>
        <w:jc w:val="center"/>
        <w:tblLayout w:type="fixed"/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2680"/>
        <w:gridCol w:w="648"/>
        <w:gridCol w:w="648"/>
        <w:gridCol w:w="648"/>
        <w:gridCol w:w="648"/>
        <w:gridCol w:w="648"/>
        <w:gridCol w:w="650"/>
      </w:tblGrid>
      <w:tr w:rsidR="00E613CF" w:rsidRPr="00532928" w:rsidTr="00194296">
        <w:trPr>
          <w:trHeight w:hRule="exact" w:val="358"/>
          <w:jc w:val="center"/>
        </w:trPr>
        <w:tc>
          <w:tcPr>
            <w:tcW w:w="2680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  <w:t>útvar / krajské ředitelství policie</w:t>
            </w:r>
          </w:p>
        </w:tc>
        <w:tc>
          <w:tcPr>
            <w:tcW w:w="3890" w:type="dxa"/>
            <w:gridSpan w:val="6"/>
            <w:tcBorders>
              <w:top w:val="single" w:sz="4" w:space="0" w:color="0070C0"/>
              <w:bottom w:val="single" w:sz="8" w:space="0" w:color="5B9BD5"/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</w:pPr>
            <w:r w:rsidRPr="00E613CF"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  <w:t>použití zbraně</w:t>
            </w:r>
          </w:p>
        </w:tc>
      </w:tr>
      <w:tr w:rsidR="00E613CF" w:rsidRPr="00532928" w:rsidTr="00194296">
        <w:trPr>
          <w:trHeight w:hRule="exact" w:val="358"/>
          <w:jc w:val="center"/>
        </w:trPr>
        <w:tc>
          <w:tcPr>
            <w:tcW w:w="2680" w:type="dxa"/>
            <w:vMerge/>
            <w:tcBorders>
              <w:left w:val="single" w:sz="4" w:space="0" w:color="0070C0"/>
              <w:bottom w:val="single" w:sz="8" w:space="0" w:color="5B9BD5"/>
            </w:tcBorders>
            <w:shd w:val="clear" w:color="auto" w:fill="DBE5F1"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2016</w:t>
            </w:r>
          </w:p>
        </w:tc>
        <w:tc>
          <w:tcPr>
            <w:tcW w:w="648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2017</w:t>
            </w:r>
          </w:p>
        </w:tc>
        <w:tc>
          <w:tcPr>
            <w:tcW w:w="648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2018</w:t>
            </w:r>
          </w:p>
        </w:tc>
        <w:tc>
          <w:tcPr>
            <w:tcW w:w="648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2019</w:t>
            </w:r>
          </w:p>
        </w:tc>
        <w:tc>
          <w:tcPr>
            <w:tcW w:w="648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2020</w:t>
            </w:r>
          </w:p>
        </w:tc>
        <w:tc>
          <w:tcPr>
            <w:tcW w:w="648" w:type="dxa"/>
            <w:tcBorders>
              <w:top w:val="single" w:sz="8" w:space="0" w:color="5B9BD5"/>
              <w:bottom w:val="single" w:sz="8" w:space="0" w:color="5B9BD5"/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2021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top w:val="single" w:sz="8" w:space="0" w:color="5B9BD5"/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PP a útvary s celostátní  působností</w:t>
            </w:r>
          </w:p>
        </w:tc>
        <w:tc>
          <w:tcPr>
            <w:tcW w:w="648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8" w:space="0" w:color="5B9BD5"/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hlavního města Prahy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8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Středočeského kraje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6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6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Jihočeského kraje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Plzeňského kraje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Karlovarského kraje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Ústeckého kraje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Libereckého kraje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top w:val="single" w:sz="4" w:space="0" w:color="FFFFFF"/>
              <w:left w:val="single" w:sz="4" w:space="0" w:color="0070C0"/>
              <w:bottom w:val="single" w:sz="4" w:space="0" w:color="FFFFFF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Královéhradeckého kraje</w:t>
            </w:r>
          </w:p>
        </w:tc>
        <w:tc>
          <w:tcPr>
            <w:tcW w:w="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  <w:bottom w:val="single" w:sz="4" w:space="0" w:color="FFFFFF"/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top w:val="single" w:sz="4" w:space="0" w:color="FFFFFF"/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Pardubického kraje</w:t>
            </w:r>
          </w:p>
        </w:tc>
        <w:tc>
          <w:tcPr>
            <w:tcW w:w="648" w:type="dxa"/>
            <w:tcBorders>
              <w:top w:val="single" w:sz="4" w:space="0" w:color="FFFFFF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tcBorders>
              <w:top w:val="single" w:sz="4" w:space="0" w:color="FFFFFF"/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kraje Vysočina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Jihomoravského kraje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Zlínského kraje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Olomouckého kraje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648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648" w:type="dxa"/>
            <w:tcBorders>
              <w:right w:val="single" w:sz="2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</w:tr>
      <w:tr w:rsidR="00E613CF" w:rsidRPr="00532928" w:rsidTr="00194296">
        <w:trPr>
          <w:trHeight w:val="255"/>
          <w:jc w:val="center"/>
        </w:trPr>
        <w:tc>
          <w:tcPr>
            <w:tcW w:w="2680" w:type="dxa"/>
            <w:tcBorders>
              <w:left w:val="single" w:sz="4" w:space="0" w:color="0070C0"/>
              <w:bottom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Moravskoslezského kraje</w:t>
            </w:r>
          </w:p>
        </w:tc>
        <w:tc>
          <w:tcPr>
            <w:tcW w:w="648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648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648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648" w:type="dxa"/>
            <w:tcBorders>
              <w:bottom w:val="single" w:sz="4" w:space="0" w:color="5B9BD5"/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hRule="exact" w:val="358"/>
          <w:jc w:val="center"/>
        </w:trPr>
        <w:tc>
          <w:tcPr>
            <w:tcW w:w="2680" w:type="dxa"/>
            <w:tcBorders>
              <w:top w:val="single" w:sz="4" w:space="0" w:color="5B9BD5"/>
              <w:left w:val="single" w:sz="4" w:space="0" w:color="0070C0"/>
              <w:bottom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celkem</w:t>
            </w:r>
          </w:p>
        </w:tc>
        <w:tc>
          <w:tcPr>
            <w:tcW w:w="648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29</w:t>
            </w:r>
          </w:p>
        </w:tc>
        <w:tc>
          <w:tcPr>
            <w:tcW w:w="648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26</w:t>
            </w:r>
          </w:p>
        </w:tc>
        <w:tc>
          <w:tcPr>
            <w:tcW w:w="648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23</w:t>
            </w:r>
          </w:p>
        </w:tc>
        <w:tc>
          <w:tcPr>
            <w:tcW w:w="648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28</w:t>
            </w:r>
          </w:p>
        </w:tc>
        <w:tc>
          <w:tcPr>
            <w:tcW w:w="648" w:type="dxa"/>
            <w:tcBorders>
              <w:top w:val="single" w:sz="4" w:space="0" w:color="5B9BD5"/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35</w:t>
            </w:r>
          </w:p>
        </w:tc>
        <w:tc>
          <w:tcPr>
            <w:tcW w:w="648" w:type="dxa"/>
            <w:tcBorders>
              <w:top w:val="single" w:sz="4" w:space="0" w:color="5B9BD5"/>
              <w:bottom w:val="single" w:sz="4" w:space="0" w:color="5B9BD5"/>
              <w:right w:val="single" w:sz="2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28</w:t>
            </w:r>
          </w:p>
        </w:tc>
      </w:tr>
    </w:tbl>
    <w:p w:rsidR="00E613CF" w:rsidRDefault="00E613CF" w:rsidP="00E613CF">
      <w:pPr>
        <w:spacing w:line="240" w:lineRule="auto"/>
        <w:jc w:val="both"/>
        <w:rPr>
          <w:b/>
        </w:rPr>
      </w:pPr>
    </w:p>
    <w:p w:rsidR="00E613CF" w:rsidRDefault="00E613CF" w:rsidP="00E613CF">
      <w:pPr>
        <w:spacing w:line="240" w:lineRule="auto"/>
        <w:jc w:val="both"/>
        <w:rPr>
          <w:b/>
        </w:rPr>
      </w:pPr>
      <w:r>
        <w:rPr>
          <w:b/>
        </w:rPr>
        <w:t>Ad 3.:</w:t>
      </w:r>
    </w:p>
    <w:p w:rsidR="00E613CF" w:rsidRDefault="00E613CF" w:rsidP="00E613CF">
      <w:pPr>
        <w:spacing w:line="240" w:lineRule="auto"/>
        <w:jc w:val="both"/>
        <w:rPr>
          <w:b/>
        </w:rPr>
      </w:pPr>
    </w:p>
    <w:tbl>
      <w:tblPr>
        <w:tblW w:w="6126" w:type="dxa"/>
        <w:jc w:val="center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076"/>
        <w:gridCol w:w="1817"/>
        <w:gridCol w:w="1616"/>
        <w:gridCol w:w="1617"/>
      </w:tblGrid>
      <w:tr w:rsidR="00E613CF" w:rsidRPr="005A3994" w:rsidTr="00194296">
        <w:trPr>
          <w:trHeight w:val="235"/>
          <w:jc w:val="center"/>
        </w:trPr>
        <w:tc>
          <w:tcPr>
            <w:tcW w:w="1076" w:type="dxa"/>
            <w:vMerge w:val="restart"/>
            <w:tcBorders>
              <w:top w:val="single" w:sz="4" w:space="0" w:color="5B9BD5"/>
              <w:left w:val="single" w:sz="4" w:space="0" w:color="0070C0"/>
              <w:bottom w:val="single" w:sz="8" w:space="0" w:color="4F81BD"/>
              <w:right w:val="nil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365F91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5050" w:type="dxa"/>
            <w:gridSpan w:val="3"/>
            <w:tcBorders>
              <w:top w:val="single" w:sz="4" w:space="0" w:color="5B9BD5"/>
              <w:left w:val="nil"/>
              <w:bottom w:val="single" w:sz="8" w:space="0" w:color="4F81BD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zbraň použita proti</w:t>
            </w:r>
          </w:p>
        </w:tc>
      </w:tr>
      <w:tr w:rsidR="00E613CF" w:rsidRPr="005A3994" w:rsidTr="00194296">
        <w:trPr>
          <w:trHeight w:val="450"/>
          <w:jc w:val="center"/>
        </w:trPr>
        <w:tc>
          <w:tcPr>
            <w:tcW w:w="1076" w:type="dxa"/>
            <w:vMerge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17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nebezpečný pachatel</w:t>
            </w:r>
          </w:p>
        </w:tc>
        <w:tc>
          <w:tcPr>
            <w:tcW w:w="1616" w:type="dxa"/>
            <w:vMerge w:val="restart"/>
            <w:tcBorders>
              <w:left w:val="nil"/>
              <w:right w:val="nil"/>
            </w:tcBorders>
            <w:shd w:val="clear" w:color="auto" w:fill="D3DFEE"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vozidlo</w:t>
            </w:r>
          </w:p>
        </w:tc>
        <w:tc>
          <w:tcPr>
            <w:tcW w:w="1616" w:type="dxa"/>
            <w:vMerge w:val="restart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zvíře</w:t>
            </w:r>
          </w:p>
        </w:tc>
      </w:tr>
      <w:tr w:rsidR="00E613CF" w:rsidRPr="005A3994" w:rsidTr="00194296">
        <w:trPr>
          <w:trHeight w:val="450"/>
          <w:jc w:val="center"/>
        </w:trPr>
        <w:tc>
          <w:tcPr>
            <w:tcW w:w="1076" w:type="dxa"/>
            <w:vMerge/>
            <w:tcBorders>
              <w:left w:val="single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17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616" w:type="dxa"/>
            <w:vMerge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auto"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35"/>
          <w:jc w:val="center"/>
        </w:trPr>
        <w:tc>
          <w:tcPr>
            <w:tcW w:w="1076" w:type="dxa"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81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16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</w:tr>
      <w:tr w:rsidR="00E613CF" w:rsidRPr="005A3994" w:rsidTr="00194296">
        <w:trPr>
          <w:trHeight w:val="235"/>
          <w:jc w:val="center"/>
        </w:trPr>
        <w:tc>
          <w:tcPr>
            <w:tcW w:w="107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817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616" w:type="dxa"/>
            <w:tcBorders>
              <w:top w:val="nil"/>
              <w:bottom w:val="nil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613CF" w:rsidRPr="005A3994" w:rsidTr="00194296">
        <w:trPr>
          <w:trHeight w:val="235"/>
          <w:jc w:val="center"/>
        </w:trPr>
        <w:tc>
          <w:tcPr>
            <w:tcW w:w="1076" w:type="dxa"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81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616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613CF" w:rsidRPr="005A3994" w:rsidTr="00194296">
        <w:trPr>
          <w:trHeight w:val="235"/>
          <w:jc w:val="center"/>
        </w:trPr>
        <w:tc>
          <w:tcPr>
            <w:tcW w:w="107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817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616" w:type="dxa"/>
            <w:tcBorders>
              <w:top w:val="nil"/>
              <w:bottom w:val="nil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613CF" w:rsidRPr="005A3994" w:rsidTr="00194296">
        <w:trPr>
          <w:trHeight w:val="235"/>
          <w:jc w:val="center"/>
        </w:trPr>
        <w:tc>
          <w:tcPr>
            <w:tcW w:w="1076" w:type="dxa"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81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16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</w:tr>
      <w:tr w:rsidR="00E613CF" w:rsidRPr="005A3994" w:rsidTr="00194296">
        <w:trPr>
          <w:trHeight w:val="235"/>
          <w:jc w:val="center"/>
        </w:trPr>
        <w:tc>
          <w:tcPr>
            <w:tcW w:w="1076" w:type="dxa"/>
            <w:tcBorders>
              <w:left w:val="single" w:sz="4" w:space="0" w:color="0070C0"/>
              <w:bottom w:val="single" w:sz="4" w:space="0" w:color="00206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817" w:type="dxa"/>
            <w:tcBorders>
              <w:bottom w:val="single" w:sz="4" w:space="0" w:color="00206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616" w:type="dxa"/>
            <w:tcBorders>
              <w:bottom w:val="single" w:sz="4" w:space="0" w:color="00206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616" w:type="dxa"/>
            <w:tcBorders>
              <w:top w:val="nil"/>
              <w:bottom w:val="single" w:sz="4" w:space="0" w:color="002060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</w:tbl>
    <w:p w:rsidR="00E613CF" w:rsidRDefault="00E613CF" w:rsidP="00E613CF">
      <w:pPr>
        <w:spacing w:line="240" w:lineRule="auto"/>
        <w:jc w:val="both"/>
        <w:rPr>
          <w:rFonts w:cs="Arial"/>
        </w:rPr>
      </w:pPr>
    </w:p>
    <w:p w:rsidR="00E613CF" w:rsidRPr="00A33EAF" w:rsidRDefault="00E613CF" w:rsidP="00E613CF">
      <w:pPr>
        <w:spacing w:line="240" w:lineRule="auto"/>
        <w:jc w:val="both"/>
        <w:rPr>
          <w:rFonts w:cs="Arial"/>
          <w:b/>
        </w:rPr>
      </w:pPr>
      <w:r w:rsidRPr="00A33EAF">
        <w:rPr>
          <w:rFonts w:cs="Arial"/>
          <w:b/>
        </w:rPr>
        <w:t>Ad 4.:</w:t>
      </w:r>
    </w:p>
    <w:p w:rsidR="00E613CF" w:rsidRDefault="00E613CF" w:rsidP="00E613CF">
      <w:pPr>
        <w:spacing w:line="240" w:lineRule="auto"/>
        <w:jc w:val="both"/>
        <w:rPr>
          <w:rFonts w:cs="Arial"/>
        </w:rPr>
      </w:pPr>
    </w:p>
    <w:tbl>
      <w:tblPr>
        <w:tblW w:w="4118" w:type="dxa"/>
        <w:jc w:val="center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811"/>
        <w:gridCol w:w="927"/>
        <w:gridCol w:w="927"/>
        <w:gridCol w:w="1453"/>
      </w:tblGrid>
      <w:tr w:rsidR="00E613CF" w:rsidRPr="005A3994" w:rsidTr="00194296">
        <w:trPr>
          <w:trHeight w:val="223"/>
          <w:jc w:val="center"/>
        </w:trPr>
        <w:tc>
          <w:tcPr>
            <w:tcW w:w="811" w:type="dxa"/>
            <w:vMerge w:val="restart"/>
            <w:tcBorders>
              <w:top w:val="single" w:sz="4" w:space="0" w:color="5B9BD5"/>
              <w:left w:val="single" w:sz="4" w:space="0" w:color="0070C0"/>
              <w:bottom w:val="single" w:sz="8" w:space="0" w:color="4F81BD"/>
              <w:right w:val="nil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365F91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3307" w:type="dxa"/>
            <w:gridSpan w:val="3"/>
            <w:tcBorders>
              <w:top w:val="single" w:sz="4" w:space="0" w:color="5B9BD5"/>
              <w:left w:val="nil"/>
              <w:bottom w:val="single" w:sz="8" w:space="0" w:color="4F81BD"/>
              <w:righ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v souvislosti s použitím služební zbraně</w:t>
            </w: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vMerge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07" w:type="dxa"/>
            <w:gridSpan w:val="3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zranění pachatele</w:t>
            </w: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vMerge/>
            <w:tcBorders>
              <w:left w:val="single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lehké</w:t>
            </w: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těžké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smrtelné</w:t>
            </w: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lastRenderedPageBreak/>
              <w:t>2020</w:t>
            </w:r>
          </w:p>
        </w:tc>
        <w:tc>
          <w:tcPr>
            <w:tcW w:w="927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27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52" w:type="dxa"/>
            <w:tcBorders>
              <w:top w:val="nil"/>
              <w:bottom w:val="nil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927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27" w:type="dxa"/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2" w:type="dxa"/>
            <w:tcBorders>
              <w:top w:val="nil"/>
              <w:bottom w:val="nil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tcBorders>
              <w:left w:val="single" w:sz="4" w:space="0" w:color="0070C0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27" w:type="dxa"/>
            <w:tcBorders>
              <w:left w:val="nil"/>
              <w:right w:val="nil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0070C0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23"/>
          <w:jc w:val="center"/>
        </w:trPr>
        <w:tc>
          <w:tcPr>
            <w:tcW w:w="811" w:type="dxa"/>
            <w:tcBorders>
              <w:left w:val="single" w:sz="4" w:space="0" w:color="0070C0"/>
              <w:bottom w:val="single" w:sz="4" w:space="0" w:color="00206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27" w:type="dxa"/>
            <w:tcBorders>
              <w:bottom w:val="single" w:sz="4" w:space="0" w:color="00206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27" w:type="dxa"/>
            <w:tcBorders>
              <w:bottom w:val="single" w:sz="4" w:space="0" w:color="00206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52" w:type="dxa"/>
            <w:tcBorders>
              <w:top w:val="nil"/>
              <w:bottom w:val="single" w:sz="4" w:space="0" w:color="002060"/>
              <w:right w:val="single" w:sz="4" w:space="0" w:color="0070C0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:rsidR="00E613CF" w:rsidRDefault="00E613CF" w:rsidP="00E613CF">
      <w:pPr>
        <w:spacing w:line="240" w:lineRule="auto"/>
        <w:jc w:val="both"/>
        <w:rPr>
          <w:rFonts w:cs="Arial"/>
          <w:b/>
        </w:rPr>
      </w:pPr>
    </w:p>
    <w:p w:rsidR="00E613CF" w:rsidRDefault="00E613CF" w:rsidP="00E613CF">
      <w:pPr>
        <w:spacing w:line="240" w:lineRule="auto"/>
        <w:jc w:val="both"/>
        <w:rPr>
          <w:rFonts w:cs="Arial"/>
          <w:b/>
        </w:rPr>
      </w:pPr>
      <w:r w:rsidRPr="00A33EAF">
        <w:rPr>
          <w:rFonts w:cs="Arial"/>
          <w:b/>
        </w:rPr>
        <w:t>Ad 5.:</w:t>
      </w:r>
    </w:p>
    <w:p w:rsidR="00E613CF" w:rsidRDefault="00E613CF" w:rsidP="00E613CF">
      <w:pPr>
        <w:spacing w:line="240" w:lineRule="auto"/>
        <w:jc w:val="both"/>
        <w:rPr>
          <w:rFonts w:cs="Arial"/>
          <w:b/>
        </w:rPr>
      </w:pPr>
    </w:p>
    <w:tbl>
      <w:tblPr>
        <w:tblW w:w="10603" w:type="dxa"/>
        <w:jc w:val="center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670"/>
        <w:gridCol w:w="670"/>
        <w:gridCol w:w="670"/>
        <w:gridCol w:w="737"/>
        <w:gridCol w:w="671"/>
        <w:gridCol w:w="737"/>
        <w:gridCol w:w="671"/>
        <w:gridCol w:w="737"/>
        <w:gridCol w:w="671"/>
        <w:gridCol w:w="671"/>
        <w:gridCol w:w="671"/>
        <w:gridCol w:w="671"/>
        <w:gridCol w:w="671"/>
        <w:gridCol w:w="671"/>
      </w:tblGrid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top w:val="single" w:sz="8" w:space="0" w:color="4F81BD"/>
              <w:left w:val="single" w:sz="4" w:space="0" w:color="0070C0"/>
              <w:bottom w:val="single" w:sz="4" w:space="0" w:color="002060"/>
              <w:right w:val="single" w:sz="4" w:space="0" w:color="2F5496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rok</w:t>
            </w:r>
          </w:p>
        </w:tc>
        <w:tc>
          <w:tcPr>
            <w:tcW w:w="670" w:type="dxa"/>
            <w:tcBorders>
              <w:top w:val="single" w:sz="8" w:space="0" w:color="4F81BD"/>
              <w:left w:val="single" w:sz="4" w:space="0" w:color="2F5496"/>
              <w:bottom w:val="single" w:sz="4" w:space="0" w:color="002060"/>
              <w:right w:val="single" w:sz="4" w:space="0" w:color="2F5496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OHS</w:t>
            </w:r>
          </w:p>
        </w:tc>
        <w:tc>
          <w:tcPr>
            <w:tcW w:w="670" w:type="dxa"/>
            <w:tcBorders>
              <w:top w:val="single" w:sz="8" w:space="0" w:color="4F81BD"/>
              <w:left w:val="single" w:sz="4" w:space="0" w:color="2F5496"/>
              <w:bottom w:val="single" w:sz="4" w:space="0" w:color="002060"/>
              <w:right w:val="single" w:sz="4" w:space="0" w:color="1F3864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OO</w:t>
            </w:r>
          </w:p>
        </w:tc>
        <w:tc>
          <w:tcPr>
            <w:tcW w:w="670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DI</w:t>
            </w:r>
          </w:p>
        </w:tc>
        <w:tc>
          <w:tcPr>
            <w:tcW w:w="737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SKPV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ZJ</w:t>
            </w:r>
          </w:p>
        </w:tc>
        <w:tc>
          <w:tcPr>
            <w:tcW w:w="737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URNA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OZS</w:t>
            </w:r>
          </w:p>
        </w:tc>
        <w:tc>
          <w:tcPr>
            <w:tcW w:w="737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OSKH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PMJ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DO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OCP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PEO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ŠPS</w:t>
            </w:r>
          </w:p>
        </w:tc>
        <w:tc>
          <w:tcPr>
            <w:tcW w:w="671" w:type="dxa"/>
            <w:tcBorders>
              <w:top w:val="single" w:sz="8" w:space="0" w:color="4F81BD"/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SPJ</w:t>
            </w:r>
          </w:p>
        </w:tc>
      </w:tr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top w:val="single" w:sz="4" w:space="0" w:color="002060"/>
              <w:left w:val="single" w:sz="4" w:space="0" w:color="0070C0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70" w:type="dxa"/>
            <w:tcBorders>
              <w:top w:val="single" w:sz="4" w:space="0" w:color="002060"/>
              <w:left w:val="single" w:sz="4" w:space="0" w:color="2F5496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0" w:type="dxa"/>
            <w:tcBorders>
              <w:top w:val="single" w:sz="4" w:space="0" w:color="002060"/>
              <w:left w:val="single" w:sz="4" w:space="0" w:color="2F5496"/>
              <w:right w:val="single" w:sz="4" w:space="0" w:color="1F3864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70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7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left w:val="single" w:sz="4" w:space="0" w:color="0070C0"/>
              <w:right w:val="single" w:sz="4" w:space="0" w:color="2F5496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2F5496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1F3864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70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left w:val="single" w:sz="4" w:space="0" w:color="0070C0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1F3864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0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left w:val="single" w:sz="4" w:space="0" w:color="0070C0"/>
              <w:right w:val="single" w:sz="4" w:space="0" w:color="2F5496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2F5496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1F3864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70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left w:val="single" w:sz="4" w:space="0" w:color="0070C0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70" w:type="dxa"/>
            <w:tcBorders>
              <w:left w:val="single" w:sz="4" w:space="0" w:color="2F5496"/>
              <w:right w:val="single" w:sz="4" w:space="0" w:color="1F3864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70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E613CF" w:rsidRPr="005A3994" w:rsidTr="00194296">
        <w:trPr>
          <w:trHeight w:val="283"/>
          <w:jc w:val="center"/>
        </w:trPr>
        <w:tc>
          <w:tcPr>
            <w:tcW w:w="1014" w:type="dxa"/>
            <w:tcBorders>
              <w:left w:val="single" w:sz="4" w:space="0" w:color="0070C0"/>
              <w:bottom w:val="single" w:sz="4" w:space="0" w:color="002060"/>
              <w:right w:val="single" w:sz="4" w:space="0" w:color="2F5496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670" w:type="dxa"/>
            <w:tcBorders>
              <w:left w:val="single" w:sz="4" w:space="0" w:color="2F5496"/>
              <w:bottom w:val="single" w:sz="4" w:space="0" w:color="002060"/>
              <w:right w:val="single" w:sz="4" w:space="0" w:color="2F5496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0" w:type="dxa"/>
            <w:tcBorders>
              <w:left w:val="single" w:sz="4" w:space="0" w:color="2F5496"/>
              <w:bottom w:val="single" w:sz="4" w:space="0" w:color="002060"/>
              <w:right w:val="single" w:sz="4" w:space="0" w:color="1F3864"/>
            </w:tcBorders>
            <w:shd w:val="clear" w:color="auto" w:fill="auto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70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7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tcBorders>
              <w:left w:val="single" w:sz="4" w:space="0" w:color="1F3864"/>
              <w:bottom w:val="single" w:sz="4" w:space="0" w:color="002060"/>
              <w:right w:val="single" w:sz="4" w:space="0" w:color="1F3864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613CF" w:rsidRPr="00CE422C" w:rsidTr="00194296">
        <w:trPr>
          <w:trHeight w:val="283"/>
          <w:jc w:val="center"/>
        </w:trPr>
        <w:tc>
          <w:tcPr>
            <w:tcW w:w="1014" w:type="dxa"/>
            <w:tcBorders>
              <w:top w:val="single" w:sz="4" w:space="0" w:color="002060"/>
              <w:left w:val="single" w:sz="4" w:space="0" w:color="0070C0"/>
              <w:bottom w:val="single" w:sz="2" w:space="0" w:color="2E74B5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bCs/>
                <w:color w:val="000000"/>
                <w:sz w:val="16"/>
                <w:szCs w:val="16"/>
              </w:rPr>
              <w:t>celkem</w:t>
            </w:r>
          </w:p>
        </w:tc>
        <w:tc>
          <w:tcPr>
            <w:tcW w:w="670" w:type="dxa"/>
            <w:tcBorders>
              <w:top w:val="single" w:sz="4" w:space="0" w:color="002060"/>
              <w:left w:val="single" w:sz="4" w:space="0" w:color="2F5496"/>
              <w:bottom w:val="single" w:sz="2" w:space="0" w:color="2E74B5"/>
              <w:right w:val="single" w:sz="4" w:space="0" w:color="2F5496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begin"/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instrText xml:space="preserve"> =SUM(ABOVE) </w:instrTex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separate"/>
            </w:r>
            <w:r w:rsidRPr="00E43DE9">
              <w:rPr>
                <w:rFonts w:cs="Arial"/>
                <w:b/>
                <w:noProof/>
                <w:color w:val="000000"/>
                <w:sz w:val="16"/>
                <w:szCs w:val="16"/>
              </w:rPr>
              <w:t>28</w: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670" w:type="dxa"/>
            <w:tcBorders>
              <w:top w:val="single" w:sz="4" w:space="0" w:color="002060"/>
              <w:left w:val="single" w:sz="4" w:space="0" w:color="2F5496"/>
              <w:bottom w:val="single" w:sz="2" w:space="0" w:color="2E74B5"/>
              <w:right w:val="single" w:sz="4" w:space="0" w:color="1F3864"/>
            </w:tcBorders>
            <w:shd w:val="clear" w:color="auto" w:fill="D3DFEE"/>
            <w:noWrap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begin"/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instrText xml:space="preserve"> =SUM(ABOVE) </w:instrTex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separate"/>
            </w:r>
            <w:r w:rsidRPr="00E43DE9">
              <w:rPr>
                <w:rFonts w:cs="Arial"/>
                <w:b/>
                <w:noProof/>
                <w:color w:val="000000"/>
                <w:sz w:val="16"/>
                <w:szCs w:val="16"/>
              </w:rPr>
              <w:t>78</w: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670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begin"/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instrText xml:space="preserve"> =SUM(ABOVE) </w:instrTex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separate"/>
            </w:r>
            <w:r w:rsidRPr="00E43DE9">
              <w:rPr>
                <w:rFonts w:cs="Arial"/>
                <w:b/>
                <w:noProof/>
                <w:color w:val="000000"/>
                <w:sz w:val="16"/>
                <w:szCs w:val="16"/>
              </w:rPr>
              <w:t>15</w: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737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begin"/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instrText xml:space="preserve"> =SUM(ABOVE) </w:instrTex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separate"/>
            </w:r>
            <w:r w:rsidRPr="00E43DE9">
              <w:rPr>
                <w:rFonts w:cs="Arial"/>
                <w:b/>
                <w:noProof/>
                <w:color w:val="000000"/>
                <w:sz w:val="16"/>
                <w:szCs w:val="16"/>
              </w:rPr>
              <w:t>17</w: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begin"/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instrText xml:space="preserve"> =SUM(ABOVE) </w:instrTex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separate"/>
            </w:r>
            <w:r w:rsidRPr="00E43DE9">
              <w:rPr>
                <w:rFonts w:cs="Arial"/>
                <w:b/>
                <w:noProof/>
                <w:color w:val="000000"/>
                <w:sz w:val="16"/>
                <w:szCs w:val="16"/>
              </w:rPr>
              <w:t>10</w: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737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737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begin"/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instrText xml:space="preserve"> =SUM(ABOVE) </w:instrTex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separate"/>
            </w:r>
            <w:r w:rsidRPr="00E43DE9">
              <w:rPr>
                <w:rFonts w:cs="Arial"/>
                <w:b/>
                <w:noProof/>
                <w:color w:val="000000"/>
                <w:sz w:val="16"/>
                <w:szCs w:val="16"/>
              </w:rPr>
              <w:t>6</w:t>
            </w: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671" w:type="dxa"/>
            <w:tcBorders>
              <w:top w:val="single" w:sz="4" w:space="0" w:color="002060"/>
              <w:left w:val="single" w:sz="4" w:space="0" w:color="1F3864"/>
              <w:bottom w:val="single" w:sz="2" w:space="0" w:color="2E74B5"/>
              <w:right w:val="single" w:sz="4" w:space="0" w:color="1F3864"/>
            </w:tcBorders>
            <w:shd w:val="clear" w:color="auto" w:fill="D3DFEE"/>
            <w:vAlign w:val="center"/>
          </w:tcPr>
          <w:p w:rsidR="00E613CF" w:rsidRPr="00E43DE9" w:rsidRDefault="00E613CF" w:rsidP="00194296">
            <w:pPr>
              <w:spacing w:line="240" w:lineRule="auto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43DE9">
              <w:rPr>
                <w:rFonts w:cs="Arial"/>
                <w:b/>
                <w:color w:val="000000"/>
                <w:sz w:val="16"/>
                <w:szCs w:val="16"/>
              </w:rPr>
              <w:t>5</w:t>
            </w:r>
          </w:p>
        </w:tc>
      </w:tr>
    </w:tbl>
    <w:p w:rsidR="00E613CF" w:rsidRDefault="00E613CF" w:rsidP="00E613CF">
      <w:pPr>
        <w:spacing w:line="240" w:lineRule="auto"/>
        <w:jc w:val="both"/>
        <w:rPr>
          <w:rFonts w:cs="Arial"/>
          <w:b/>
        </w:rPr>
      </w:pPr>
    </w:p>
    <w:p w:rsidR="00E613CF" w:rsidRDefault="00E613CF" w:rsidP="00E613CF">
      <w:pPr>
        <w:spacing w:line="240" w:lineRule="auto"/>
        <w:jc w:val="both"/>
        <w:rPr>
          <w:rFonts w:cs="Arial"/>
          <w:b/>
        </w:rPr>
      </w:pPr>
    </w:p>
    <w:p w:rsidR="00E613CF" w:rsidRPr="00CE192D" w:rsidRDefault="00E613CF" w:rsidP="00E613CF">
      <w:pPr>
        <w:spacing w:line="240" w:lineRule="auto"/>
        <w:jc w:val="both"/>
        <w:rPr>
          <w:b/>
        </w:rPr>
      </w:pPr>
      <w:r w:rsidRPr="00CE192D">
        <w:rPr>
          <w:b/>
        </w:rPr>
        <w:t>Vysvětlivky:</w:t>
      </w:r>
    </w:p>
    <w:p w:rsidR="00E613CF" w:rsidRPr="00A33EAF" w:rsidRDefault="00E613CF" w:rsidP="00E613CF">
      <w:pPr>
        <w:spacing w:line="240" w:lineRule="auto"/>
        <w:jc w:val="both"/>
        <w:rPr>
          <w:sz w:val="20"/>
        </w:rPr>
      </w:pPr>
      <w:r>
        <w:rPr>
          <w:sz w:val="20"/>
        </w:rPr>
        <w:t xml:space="preserve">Oddělení hlídkové služby (OHS), </w:t>
      </w:r>
      <w:r w:rsidRPr="00A33EAF">
        <w:rPr>
          <w:sz w:val="20"/>
        </w:rPr>
        <w:t>O</w:t>
      </w:r>
      <w:r>
        <w:rPr>
          <w:sz w:val="20"/>
        </w:rPr>
        <w:t xml:space="preserve">bvodní oddělení policie (OO), Dopravní policie (DI), </w:t>
      </w:r>
      <w:r w:rsidRPr="00A33EAF">
        <w:rPr>
          <w:sz w:val="20"/>
        </w:rPr>
        <w:t>Služba kriminál</w:t>
      </w:r>
      <w:r>
        <w:rPr>
          <w:sz w:val="20"/>
        </w:rPr>
        <w:t>ní policie a vyšetřování (SKPV), Zásahová jednotka (ZJ), Útvar rychlého nasazení (</w:t>
      </w:r>
      <w:r w:rsidRPr="00A33EAF">
        <w:rPr>
          <w:sz w:val="20"/>
        </w:rPr>
        <w:t>URNA</w:t>
      </w:r>
      <w:r>
        <w:rPr>
          <w:sz w:val="20"/>
        </w:rPr>
        <w:t xml:space="preserve">), </w:t>
      </w:r>
      <w:r w:rsidRPr="00A33EAF">
        <w:rPr>
          <w:sz w:val="20"/>
        </w:rPr>
        <w:t>O</w:t>
      </w:r>
      <w:r>
        <w:rPr>
          <w:sz w:val="20"/>
        </w:rPr>
        <w:t xml:space="preserve">ddělení zbraní a střeliva (OZS), </w:t>
      </w:r>
      <w:r w:rsidRPr="00A33EAF">
        <w:rPr>
          <w:sz w:val="20"/>
        </w:rPr>
        <w:t>Oddělení služební kynologie a hipologie (OSKH)</w:t>
      </w:r>
    </w:p>
    <w:p w:rsidR="00E613CF" w:rsidRPr="00A33EAF" w:rsidRDefault="00E613CF" w:rsidP="00E613CF">
      <w:pPr>
        <w:spacing w:line="240" w:lineRule="auto"/>
        <w:jc w:val="both"/>
        <w:rPr>
          <w:sz w:val="20"/>
        </w:rPr>
      </w:pPr>
      <w:r w:rsidRPr="00A33EAF">
        <w:rPr>
          <w:sz w:val="20"/>
        </w:rPr>
        <w:t>+</w:t>
      </w:r>
    </w:p>
    <w:p w:rsidR="00E613CF" w:rsidRPr="0092037E" w:rsidRDefault="00E613CF" w:rsidP="00E613CF">
      <w:pPr>
        <w:tabs>
          <w:tab w:val="left" w:pos="5172"/>
        </w:tabs>
        <w:spacing w:line="240" w:lineRule="auto"/>
        <w:jc w:val="both"/>
        <w:rPr>
          <w:sz w:val="20"/>
        </w:rPr>
      </w:pPr>
      <w:r w:rsidRPr="00A33EAF">
        <w:rPr>
          <w:sz w:val="20"/>
        </w:rPr>
        <w:t>Pohotovostní motorizovaná jednotka (PMJ) – pouze u KŘP hlavního města Prahy</w:t>
      </w:r>
      <w:r>
        <w:rPr>
          <w:sz w:val="20"/>
        </w:rPr>
        <w:t>, Dálniční oddělení (D</w:t>
      </w:r>
      <w:r w:rsidRPr="00A33EAF">
        <w:rPr>
          <w:sz w:val="20"/>
        </w:rPr>
        <w:t>O)</w:t>
      </w:r>
      <w:r>
        <w:rPr>
          <w:sz w:val="20"/>
        </w:rPr>
        <w:t xml:space="preserve">, </w:t>
      </w:r>
      <w:r w:rsidRPr="00A33EAF">
        <w:rPr>
          <w:sz w:val="20"/>
        </w:rPr>
        <w:t xml:space="preserve">Odbor cizinecké policie </w:t>
      </w:r>
      <w:r>
        <w:rPr>
          <w:sz w:val="20"/>
        </w:rPr>
        <w:t>(</w:t>
      </w:r>
      <w:r w:rsidRPr="00A33EAF">
        <w:rPr>
          <w:sz w:val="20"/>
        </w:rPr>
        <w:t>OCP</w:t>
      </w:r>
      <w:r>
        <w:rPr>
          <w:sz w:val="20"/>
        </w:rPr>
        <w:t xml:space="preserve">), </w:t>
      </w:r>
      <w:r w:rsidRPr="00A33EAF">
        <w:rPr>
          <w:sz w:val="20"/>
        </w:rPr>
        <w:t>Pohotovostní a eskortní odbor</w:t>
      </w:r>
      <w:r>
        <w:rPr>
          <w:sz w:val="20"/>
        </w:rPr>
        <w:t xml:space="preserve"> (PEO), </w:t>
      </w:r>
      <w:r w:rsidRPr="00A33EAF">
        <w:rPr>
          <w:sz w:val="20"/>
        </w:rPr>
        <w:t>Školní policejní středisko ŠPS</w:t>
      </w:r>
      <w:r>
        <w:rPr>
          <w:sz w:val="20"/>
        </w:rPr>
        <w:t xml:space="preserve"> (ŠPS), </w:t>
      </w:r>
      <w:r w:rsidRPr="00A33EAF">
        <w:rPr>
          <w:sz w:val="20"/>
        </w:rPr>
        <w:t>Speciální pořádková jednotka</w:t>
      </w:r>
      <w:r>
        <w:rPr>
          <w:sz w:val="20"/>
        </w:rPr>
        <w:t xml:space="preserve"> (SPJ)</w:t>
      </w:r>
    </w:p>
    <w:p w:rsidR="00E613CF" w:rsidRPr="00A33EAF" w:rsidRDefault="00E613CF" w:rsidP="00E613CF">
      <w:pPr>
        <w:spacing w:line="240" w:lineRule="auto"/>
        <w:jc w:val="both"/>
        <w:rPr>
          <w:rFonts w:cs="Arial"/>
          <w:b/>
        </w:rPr>
      </w:pPr>
    </w:p>
    <w:p w:rsidR="00E613CF" w:rsidRDefault="00E613CF" w:rsidP="00E613CF">
      <w:pPr>
        <w:tabs>
          <w:tab w:val="left" w:pos="5172"/>
        </w:tabs>
        <w:spacing w:line="240" w:lineRule="auto"/>
        <w:jc w:val="both"/>
      </w:pPr>
      <w:r>
        <w:t>V některých případech došlo k použití služební zbraně příslušníky z více složek (např. OHS+DI, OO+SKPV atd.).</w:t>
      </w:r>
    </w:p>
    <w:p w:rsidR="00E613CF" w:rsidRDefault="00E613CF" w:rsidP="00E613CF">
      <w:pPr>
        <w:spacing w:line="240" w:lineRule="auto"/>
        <w:jc w:val="both"/>
        <w:rPr>
          <w:rFonts w:cs="Arial"/>
        </w:rPr>
      </w:pPr>
    </w:p>
    <w:p w:rsidR="00E613CF" w:rsidRDefault="00E613CF" w:rsidP="00E613CF">
      <w:pPr>
        <w:spacing w:line="240" w:lineRule="auto"/>
        <w:rPr>
          <w:b/>
        </w:rPr>
      </w:pPr>
      <w:r w:rsidRPr="00CE192D">
        <w:rPr>
          <w:b/>
        </w:rPr>
        <w:t>Ad 6.:</w:t>
      </w:r>
    </w:p>
    <w:p w:rsidR="00E613CF" w:rsidRPr="0092037E" w:rsidRDefault="00E613CF" w:rsidP="00E613CF">
      <w:pPr>
        <w:spacing w:line="240" w:lineRule="auto"/>
        <w:rPr>
          <w:b/>
        </w:rPr>
      </w:pPr>
    </w:p>
    <w:tbl>
      <w:tblPr>
        <w:tblW w:w="7981" w:type="dxa"/>
        <w:jc w:val="center"/>
        <w:tblLayout w:type="fixed"/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3256"/>
        <w:gridCol w:w="787"/>
        <w:gridCol w:w="787"/>
        <w:gridCol w:w="787"/>
        <w:gridCol w:w="787"/>
        <w:gridCol w:w="787"/>
        <w:gridCol w:w="790"/>
      </w:tblGrid>
      <w:tr w:rsidR="00E613CF" w:rsidRPr="00532928" w:rsidTr="00194296">
        <w:trPr>
          <w:trHeight w:hRule="exact" w:val="353"/>
          <w:jc w:val="center"/>
        </w:trPr>
        <w:tc>
          <w:tcPr>
            <w:tcW w:w="3256" w:type="dxa"/>
            <w:vMerge w:val="restart"/>
            <w:tcBorders>
              <w:top w:val="single" w:sz="4" w:space="0" w:color="0070C0"/>
              <w:left w:val="single" w:sz="4" w:space="0" w:color="0070C0"/>
              <w:bottom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  <w:lastRenderedPageBreak/>
              <w:t>útvar / krajské ředitelství policie</w:t>
            </w:r>
          </w:p>
        </w:tc>
        <w:tc>
          <w:tcPr>
            <w:tcW w:w="4725" w:type="dxa"/>
            <w:gridSpan w:val="6"/>
            <w:tcBorders>
              <w:top w:val="single" w:sz="4" w:space="0" w:color="0070C0"/>
              <w:left w:val="single" w:sz="2" w:space="0" w:color="5B9BD5"/>
              <w:bottom w:val="single" w:sz="8" w:space="0" w:color="5B9BD5"/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bCs/>
                <w:sz w:val="16"/>
                <w:szCs w:val="16"/>
                <w:u w:val="none"/>
              </w:rPr>
              <w:t xml:space="preserve">                DP varovný výstřel</w:t>
            </w:r>
          </w:p>
        </w:tc>
      </w:tr>
      <w:tr w:rsidR="00E613CF" w:rsidRPr="00532928" w:rsidTr="00194296">
        <w:trPr>
          <w:trHeight w:hRule="exact" w:val="353"/>
          <w:jc w:val="center"/>
        </w:trPr>
        <w:tc>
          <w:tcPr>
            <w:tcW w:w="3256" w:type="dxa"/>
            <w:vMerge/>
            <w:tcBorders>
              <w:left w:val="single" w:sz="4" w:space="0" w:color="0070C0"/>
              <w:bottom w:val="single" w:sz="8" w:space="0" w:color="5B9BD5"/>
            </w:tcBorders>
            <w:shd w:val="clear" w:color="auto" w:fill="DBE5F1"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</w:p>
        </w:tc>
        <w:tc>
          <w:tcPr>
            <w:tcW w:w="787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2016</w:t>
            </w:r>
          </w:p>
        </w:tc>
        <w:tc>
          <w:tcPr>
            <w:tcW w:w="787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2017</w:t>
            </w:r>
          </w:p>
        </w:tc>
        <w:tc>
          <w:tcPr>
            <w:tcW w:w="787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2018</w:t>
            </w:r>
          </w:p>
        </w:tc>
        <w:tc>
          <w:tcPr>
            <w:tcW w:w="787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2019</w:t>
            </w:r>
          </w:p>
        </w:tc>
        <w:tc>
          <w:tcPr>
            <w:tcW w:w="787" w:type="dxa"/>
            <w:tcBorders>
              <w:top w:val="single" w:sz="8" w:space="0" w:color="5B9BD5"/>
              <w:bottom w:val="single" w:sz="8" w:space="0" w:color="5B9BD5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2020</w:t>
            </w:r>
          </w:p>
        </w:tc>
        <w:tc>
          <w:tcPr>
            <w:tcW w:w="788" w:type="dxa"/>
            <w:tcBorders>
              <w:top w:val="single" w:sz="8" w:space="0" w:color="5B9BD5"/>
              <w:bottom w:val="single" w:sz="8" w:space="0" w:color="5B9BD5"/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2021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top w:val="single" w:sz="8" w:space="0" w:color="5B9BD5"/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PP a útvary s celostátní  působností</w:t>
            </w:r>
          </w:p>
        </w:tc>
        <w:tc>
          <w:tcPr>
            <w:tcW w:w="787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tcBorders>
              <w:top w:val="single" w:sz="8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788" w:type="dxa"/>
            <w:tcBorders>
              <w:top w:val="single" w:sz="8" w:space="0" w:color="5B9BD5"/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hlavního města Prahy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8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10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14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6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8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Středočeského kraje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14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13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13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11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6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Jihočeského kraje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6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Plzeňského kraje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6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Karlovarského kraje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Ústeckého kraje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7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7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7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8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Libereckého kraje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Královéhradeckého kraje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Pardubického kraje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kraje Vysočina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Jihomoravského kraje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7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5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Zlínského kraje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</w:tcBorders>
            <w:shd w:val="clear" w:color="auto" w:fill="DBE5F1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Olomouckého kraje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</w:p>
        </w:tc>
        <w:tc>
          <w:tcPr>
            <w:tcW w:w="787" w:type="dxa"/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8" w:type="dxa"/>
            <w:tcBorders>
              <w:right w:val="single" w:sz="4" w:space="0" w:color="0070C0"/>
            </w:tcBorders>
            <w:shd w:val="clear" w:color="auto" w:fill="DBE5F1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</w:tr>
      <w:tr w:rsidR="00E613CF" w:rsidRPr="00532928" w:rsidTr="00194296">
        <w:trPr>
          <w:trHeight w:val="251"/>
          <w:jc w:val="center"/>
        </w:trPr>
        <w:tc>
          <w:tcPr>
            <w:tcW w:w="3256" w:type="dxa"/>
            <w:tcBorders>
              <w:left w:val="single" w:sz="4" w:space="0" w:color="0070C0"/>
              <w:bottom w:val="single" w:sz="4" w:space="0" w:color="5B9BD5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Moravskoslezského kraje</w:t>
            </w:r>
          </w:p>
        </w:tc>
        <w:tc>
          <w:tcPr>
            <w:tcW w:w="787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2</w:t>
            </w:r>
          </w:p>
        </w:tc>
        <w:tc>
          <w:tcPr>
            <w:tcW w:w="787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3</w:t>
            </w:r>
          </w:p>
        </w:tc>
        <w:tc>
          <w:tcPr>
            <w:tcW w:w="787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  <w:tc>
          <w:tcPr>
            <w:tcW w:w="787" w:type="dxa"/>
            <w:tcBorders>
              <w:bottom w:val="single" w:sz="4" w:space="0" w:color="5B9BD5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10</w:t>
            </w:r>
          </w:p>
        </w:tc>
        <w:tc>
          <w:tcPr>
            <w:tcW w:w="788" w:type="dxa"/>
            <w:tcBorders>
              <w:bottom w:val="single" w:sz="4" w:space="0" w:color="5B9BD5"/>
              <w:right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b w:val="0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b w:val="0"/>
                <w:sz w:val="16"/>
                <w:szCs w:val="16"/>
                <w:u w:val="none"/>
              </w:rPr>
              <w:t>4</w:t>
            </w:r>
          </w:p>
        </w:tc>
      </w:tr>
      <w:tr w:rsidR="00E613CF" w:rsidRPr="00532928" w:rsidTr="00194296">
        <w:trPr>
          <w:trHeight w:hRule="exact" w:val="353"/>
          <w:jc w:val="center"/>
        </w:trPr>
        <w:tc>
          <w:tcPr>
            <w:tcW w:w="3256" w:type="dxa"/>
            <w:tcBorders>
              <w:top w:val="single" w:sz="4" w:space="0" w:color="5B9BD5"/>
              <w:left w:val="single" w:sz="4" w:space="0" w:color="0070C0"/>
              <w:bottom w:val="single" w:sz="4" w:space="0" w:color="0070C0"/>
            </w:tcBorders>
            <w:shd w:val="clear" w:color="auto" w:fill="auto"/>
            <w:noWrap/>
            <w:vAlign w:val="center"/>
            <w:hideMark/>
          </w:tcPr>
          <w:p w:rsidR="00E613CF" w:rsidRPr="00E43DE9" w:rsidRDefault="00E613CF" w:rsidP="00194296">
            <w:pPr>
              <w:pStyle w:val="Nadpis1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celkem</w:t>
            </w:r>
          </w:p>
        </w:tc>
        <w:tc>
          <w:tcPr>
            <w:tcW w:w="787" w:type="dxa"/>
            <w:tcBorders>
              <w:top w:val="single" w:sz="4" w:space="0" w:color="5B9BD5"/>
              <w:bottom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58</w:t>
            </w:r>
          </w:p>
        </w:tc>
        <w:tc>
          <w:tcPr>
            <w:tcW w:w="787" w:type="dxa"/>
            <w:tcBorders>
              <w:top w:val="single" w:sz="4" w:space="0" w:color="5B9BD5"/>
              <w:bottom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41</w:t>
            </w:r>
          </w:p>
        </w:tc>
        <w:tc>
          <w:tcPr>
            <w:tcW w:w="787" w:type="dxa"/>
            <w:tcBorders>
              <w:top w:val="single" w:sz="4" w:space="0" w:color="5B9BD5"/>
              <w:bottom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71</w:t>
            </w:r>
          </w:p>
        </w:tc>
        <w:tc>
          <w:tcPr>
            <w:tcW w:w="787" w:type="dxa"/>
            <w:tcBorders>
              <w:top w:val="single" w:sz="4" w:space="0" w:color="5B9BD5"/>
              <w:bottom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69</w:t>
            </w:r>
          </w:p>
        </w:tc>
        <w:tc>
          <w:tcPr>
            <w:tcW w:w="787" w:type="dxa"/>
            <w:tcBorders>
              <w:top w:val="single" w:sz="4" w:space="0" w:color="5B9BD5"/>
              <w:bottom w:val="single" w:sz="4" w:space="0" w:color="0070C0"/>
            </w:tcBorders>
            <w:shd w:val="clear" w:color="auto" w:fill="auto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64</w:t>
            </w:r>
          </w:p>
        </w:tc>
        <w:tc>
          <w:tcPr>
            <w:tcW w:w="788" w:type="dxa"/>
            <w:tcBorders>
              <w:top w:val="single" w:sz="4" w:space="0" w:color="5B9BD5"/>
              <w:bottom w:val="single" w:sz="4" w:space="0" w:color="0070C0"/>
              <w:right w:val="single" w:sz="4" w:space="0" w:color="0070C0"/>
            </w:tcBorders>
            <w:shd w:val="clear" w:color="auto" w:fill="FFFFFF"/>
            <w:vAlign w:val="center"/>
          </w:tcPr>
          <w:p w:rsidR="00E613CF" w:rsidRPr="00E43DE9" w:rsidRDefault="00E613CF" w:rsidP="00194296">
            <w:pPr>
              <w:pStyle w:val="Nadpis1"/>
              <w:jc w:val="center"/>
              <w:rPr>
                <w:rFonts w:ascii="Arial" w:hAnsi="Arial" w:cs="Arial"/>
                <w:sz w:val="16"/>
                <w:szCs w:val="16"/>
                <w:u w:val="none"/>
              </w:rPr>
            </w:pPr>
            <w:r w:rsidRPr="00E43DE9">
              <w:rPr>
                <w:rFonts w:ascii="Arial" w:hAnsi="Arial" w:cs="Arial"/>
                <w:sz w:val="16"/>
                <w:szCs w:val="16"/>
                <w:u w:val="none"/>
              </w:rPr>
              <w:t>48</w:t>
            </w:r>
          </w:p>
        </w:tc>
      </w:tr>
    </w:tbl>
    <w:p w:rsidR="00E613CF" w:rsidRDefault="00E613CF" w:rsidP="00E613CF">
      <w:pPr>
        <w:spacing w:line="240" w:lineRule="auto"/>
        <w:jc w:val="both"/>
      </w:pPr>
    </w:p>
    <w:p w:rsidR="00E613CF" w:rsidRDefault="00E613CF" w:rsidP="00E613CF">
      <w:pPr>
        <w:spacing w:line="240" w:lineRule="auto"/>
        <w:jc w:val="both"/>
      </w:pPr>
      <w:r>
        <w:t>Bohužel PP ČR tyto události týkající se úderu střelnou zbraní a hrozby namířenou střelnou zbraní nesleduje a z tohoto důvodu disponuje jen omezeným počtem případů.</w:t>
      </w:r>
    </w:p>
    <w:p w:rsidR="00FE73D0" w:rsidRPr="0005214D" w:rsidRDefault="00FE73D0" w:rsidP="00C645E4">
      <w:pPr>
        <w:spacing w:after="0" w:line="240" w:lineRule="auto"/>
        <w:jc w:val="both"/>
        <w:rPr>
          <w:rFonts w:ascii="Arial" w:hAnsi="Arial" w:cs="Arial"/>
        </w:rPr>
      </w:pPr>
    </w:p>
    <w:p w:rsidR="006D7552" w:rsidRPr="0005214D" w:rsidRDefault="006D7552" w:rsidP="0074373E">
      <w:pPr>
        <w:spacing w:after="0" w:line="240" w:lineRule="auto"/>
        <w:jc w:val="both"/>
        <w:rPr>
          <w:rFonts w:ascii="Arial" w:hAnsi="Arial" w:cs="Arial"/>
        </w:rPr>
      </w:pPr>
      <w:r w:rsidRPr="0005214D">
        <w:rPr>
          <w:rFonts w:ascii="Arial" w:hAnsi="Arial" w:cs="Arial"/>
        </w:rPr>
        <w:t>pplk. Mgr.</w:t>
      </w:r>
      <w:r w:rsidR="00575CF7" w:rsidRPr="0005214D">
        <w:rPr>
          <w:rFonts w:ascii="Arial" w:hAnsi="Arial" w:cs="Arial"/>
        </w:rPr>
        <w:t xml:space="preserve"> </w:t>
      </w:r>
      <w:r w:rsidR="002D07F0" w:rsidRPr="0005214D">
        <w:rPr>
          <w:rFonts w:ascii="Arial" w:hAnsi="Arial" w:cs="Arial"/>
        </w:rPr>
        <w:t>art. et Mgr. David Schi</w:t>
      </w:r>
      <w:r w:rsidR="00586499" w:rsidRPr="0005214D">
        <w:rPr>
          <w:rFonts w:ascii="Arial" w:hAnsi="Arial" w:cs="Arial"/>
        </w:rPr>
        <w:t>mmer –</w:t>
      </w:r>
      <w:r w:rsidR="00A613AE" w:rsidRPr="0005214D">
        <w:rPr>
          <w:rFonts w:ascii="Arial" w:hAnsi="Arial" w:cs="Arial"/>
        </w:rPr>
        <w:t xml:space="preserve"> 31. 3. 2022</w:t>
      </w:r>
      <w:bookmarkStart w:id="0" w:name="_GoBack"/>
      <w:bookmarkEnd w:id="0"/>
    </w:p>
    <w:sectPr w:rsidR="006D7552" w:rsidRPr="00052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D6" w:rsidRDefault="001C68D6" w:rsidP="001C68D6">
      <w:pPr>
        <w:spacing w:after="0" w:line="240" w:lineRule="auto"/>
      </w:pPr>
      <w:r>
        <w:separator/>
      </w:r>
    </w:p>
  </w:endnote>
  <w:endnote w:type="continuationSeparator" w:id="0">
    <w:p w:rsidR="001C68D6" w:rsidRDefault="001C68D6" w:rsidP="001C6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D6" w:rsidRDefault="001C68D6" w:rsidP="001C68D6">
      <w:pPr>
        <w:spacing w:after="0" w:line="240" w:lineRule="auto"/>
      </w:pPr>
      <w:r>
        <w:separator/>
      </w:r>
    </w:p>
  </w:footnote>
  <w:footnote w:type="continuationSeparator" w:id="0">
    <w:p w:rsidR="001C68D6" w:rsidRDefault="001C68D6" w:rsidP="001C6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D4299F"/>
    <w:multiLevelType w:val="hybridMultilevel"/>
    <w:tmpl w:val="C45A362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8AED60A"/>
    <w:multiLevelType w:val="hybridMultilevel"/>
    <w:tmpl w:val="62260F8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2FC43A9"/>
    <w:multiLevelType w:val="hybridMultilevel"/>
    <w:tmpl w:val="450893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27EF3"/>
    <w:multiLevelType w:val="hybridMultilevel"/>
    <w:tmpl w:val="084490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45421"/>
    <w:multiLevelType w:val="hybridMultilevel"/>
    <w:tmpl w:val="89620B9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DD"/>
    <w:rsid w:val="000008A7"/>
    <w:rsid w:val="00011A45"/>
    <w:rsid w:val="0002265F"/>
    <w:rsid w:val="0005214D"/>
    <w:rsid w:val="00057BDE"/>
    <w:rsid w:val="0009497A"/>
    <w:rsid w:val="000B7A3F"/>
    <w:rsid w:val="000F4D9B"/>
    <w:rsid w:val="001668D6"/>
    <w:rsid w:val="00191506"/>
    <w:rsid w:val="001B3B16"/>
    <w:rsid w:val="001C68D6"/>
    <w:rsid w:val="00232BEB"/>
    <w:rsid w:val="00252752"/>
    <w:rsid w:val="002706AF"/>
    <w:rsid w:val="002B1269"/>
    <w:rsid w:val="002B7ABD"/>
    <w:rsid w:val="002C022A"/>
    <w:rsid w:val="002D07F0"/>
    <w:rsid w:val="002D422B"/>
    <w:rsid w:val="00342DDF"/>
    <w:rsid w:val="0037573E"/>
    <w:rsid w:val="00384B71"/>
    <w:rsid w:val="003B1768"/>
    <w:rsid w:val="003B42A0"/>
    <w:rsid w:val="003E48E8"/>
    <w:rsid w:val="004347E0"/>
    <w:rsid w:val="00463983"/>
    <w:rsid w:val="00463F8C"/>
    <w:rsid w:val="004F1C8D"/>
    <w:rsid w:val="005140DC"/>
    <w:rsid w:val="00575CF7"/>
    <w:rsid w:val="00586499"/>
    <w:rsid w:val="0059039D"/>
    <w:rsid w:val="005C4481"/>
    <w:rsid w:val="006078EA"/>
    <w:rsid w:val="0061123C"/>
    <w:rsid w:val="006139F7"/>
    <w:rsid w:val="006204C1"/>
    <w:rsid w:val="00651152"/>
    <w:rsid w:val="006604C5"/>
    <w:rsid w:val="006B431C"/>
    <w:rsid w:val="006D68B9"/>
    <w:rsid w:val="006D7552"/>
    <w:rsid w:val="006E7FF8"/>
    <w:rsid w:val="007031FD"/>
    <w:rsid w:val="007219EF"/>
    <w:rsid w:val="00731B7A"/>
    <w:rsid w:val="00742214"/>
    <w:rsid w:val="0074373E"/>
    <w:rsid w:val="007744DC"/>
    <w:rsid w:val="00780E4C"/>
    <w:rsid w:val="008003CE"/>
    <w:rsid w:val="00801D5E"/>
    <w:rsid w:val="00807457"/>
    <w:rsid w:val="00814EA8"/>
    <w:rsid w:val="00830886"/>
    <w:rsid w:val="008605E2"/>
    <w:rsid w:val="00903CD0"/>
    <w:rsid w:val="00906FFD"/>
    <w:rsid w:val="00925A39"/>
    <w:rsid w:val="0096249D"/>
    <w:rsid w:val="00A22F75"/>
    <w:rsid w:val="00A25711"/>
    <w:rsid w:val="00A43D4C"/>
    <w:rsid w:val="00A46824"/>
    <w:rsid w:val="00A613AE"/>
    <w:rsid w:val="00AD317D"/>
    <w:rsid w:val="00AF1019"/>
    <w:rsid w:val="00B3364E"/>
    <w:rsid w:val="00BA16C0"/>
    <w:rsid w:val="00BB0D76"/>
    <w:rsid w:val="00BC1BEB"/>
    <w:rsid w:val="00C1793B"/>
    <w:rsid w:val="00C645E4"/>
    <w:rsid w:val="00C70B0F"/>
    <w:rsid w:val="00CA047F"/>
    <w:rsid w:val="00CB7E0E"/>
    <w:rsid w:val="00CE50EE"/>
    <w:rsid w:val="00D04162"/>
    <w:rsid w:val="00D060DD"/>
    <w:rsid w:val="00D37C6D"/>
    <w:rsid w:val="00D527D6"/>
    <w:rsid w:val="00D60D25"/>
    <w:rsid w:val="00E0431C"/>
    <w:rsid w:val="00E56408"/>
    <w:rsid w:val="00E613CF"/>
    <w:rsid w:val="00E92B76"/>
    <w:rsid w:val="00EC016B"/>
    <w:rsid w:val="00FA12EE"/>
    <w:rsid w:val="00FA50E4"/>
    <w:rsid w:val="00FB0840"/>
    <w:rsid w:val="00FC689E"/>
    <w:rsid w:val="00FC76B0"/>
    <w:rsid w:val="00FC7B23"/>
    <w:rsid w:val="00FE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0A072-9FC0-4AE8-8928-7C55260B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613CF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A04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character" w:styleId="Hypertextovodkaz">
    <w:name w:val="Hyperlink"/>
    <w:rsid w:val="00D37C6D"/>
    <w:rPr>
      <w:color w:val="0563C1"/>
      <w:u w:val="single"/>
    </w:rPr>
  </w:style>
  <w:style w:type="paragraph" w:styleId="Zkladntextodsazen">
    <w:name w:val="Body Text Indent"/>
    <w:basedOn w:val="Normln"/>
    <w:link w:val="ZkladntextodsazenChar"/>
    <w:unhideWhenUsed/>
    <w:rsid w:val="00D37C6D"/>
    <w:pPr>
      <w:spacing w:after="0" w:line="260" w:lineRule="atLeast"/>
      <w:ind w:firstLine="709"/>
    </w:pPr>
    <w:rPr>
      <w:rFonts w:ascii="Arial" w:eastAsia="Times New Roman" w:hAnsi="Arial" w:cs="Times New Roman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37C6D"/>
    <w:rPr>
      <w:rFonts w:ascii="Arial" w:eastAsia="Times New Roman" w:hAnsi="Arial" w:cs="Times New Roman"/>
      <w:szCs w:val="24"/>
      <w:lang w:eastAsia="cs-CZ"/>
    </w:rPr>
  </w:style>
  <w:style w:type="table" w:styleId="Mkatabulky">
    <w:name w:val="Table Grid"/>
    <w:basedOn w:val="Normlntabulka"/>
    <w:rsid w:val="0057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31FD"/>
  </w:style>
  <w:style w:type="paragraph" w:styleId="Zpat">
    <w:name w:val="footer"/>
    <w:basedOn w:val="Normln"/>
    <w:link w:val="ZpatChar"/>
    <w:uiPriority w:val="99"/>
    <w:unhideWhenUsed/>
    <w:rsid w:val="0070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31FD"/>
  </w:style>
  <w:style w:type="paragraph" w:customStyle="1" w:styleId="Obyejnodstavec">
    <w:name w:val="Obyčejný odstavec"/>
    <w:basedOn w:val="Normln"/>
    <w:rsid w:val="00232BEB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Cs w:val="20"/>
      <w:lang w:eastAsia="cs-CZ"/>
    </w:rPr>
  </w:style>
  <w:style w:type="paragraph" w:customStyle="1" w:styleId="gmail-msolistparagraph">
    <w:name w:val="gmail-msolistparagraph"/>
    <w:basedOn w:val="Normln"/>
    <w:rsid w:val="0005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F1019"/>
    <w:pPr>
      <w:spacing w:after="0" w:line="260" w:lineRule="atLeast"/>
      <w:ind w:left="708"/>
    </w:pPr>
    <w:rPr>
      <w:rFonts w:ascii="Arial" w:eastAsia="Times New Roman" w:hAnsi="Arial" w:cs="Times New Roman"/>
      <w:szCs w:val="24"/>
      <w:lang w:eastAsia="cs-CZ"/>
    </w:rPr>
  </w:style>
  <w:style w:type="paragraph" w:styleId="Bezmezer">
    <w:name w:val="No Spacing"/>
    <w:uiPriority w:val="1"/>
    <w:qFormat/>
    <w:rsid w:val="00AF1019"/>
    <w:pPr>
      <w:spacing w:after="0" w:line="240" w:lineRule="auto"/>
    </w:pPr>
    <w:rPr>
      <w:rFonts w:ascii="Calibri" w:eastAsia="Calibri" w:hAnsi="Calibri" w:cs="Times New Roman"/>
    </w:rPr>
  </w:style>
  <w:style w:type="paragraph" w:styleId="Normlnweb">
    <w:name w:val="Normal (Web)"/>
    <w:basedOn w:val="Normln"/>
    <w:uiPriority w:val="99"/>
    <w:unhideWhenUsed/>
    <w:rsid w:val="00AD317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E613CF"/>
    <w:rPr>
      <w:rFonts w:ascii="Times New Roman" w:eastAsia="Times New Roman" w:hAnsi="Times New Roman" w:cs="Times New Roman"/>
      <w:b/>
      <w:color w:val="000000"/>
      <w:sz w:val="24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3735</Characters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2022-04-01T09:50:00Z</dcterms:created>
  <dcterms:modified xsi:type="dcterms:W3CDTF">2022-04-01T09:50:00Z</dcterms:modified>
</cp:coreProperties>
</file>