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wmf" ContentType="image/x-wmf"/>
  <Override PartName="/word/media/image2.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120"/>
        <w:contextualSpacing w:val="false"/>
        <w:rPr/>
      </w:pPr>
      <w:r>
        <w:rPr/>
      </w:r>
    </w:p>
    <w:p>
      <w:pPr>
        <w:pStyle w:val="style2"/>
        <w:rPr/>
      </w:pPr>
      <w:r>
        <w:rPr/>
        <w:t xml:space="preserve">Obecná bezpečnostní situace v rámci Krajského ředitelství policie Libereckého kraje - </w:t>
      </w:r>
    </w:p>
    <w:p>
      <w:pPr>
        <w:pStyle w:val="style2"/>
        <w:rPr/>
      </w:pPr>
      <w:r>
        <w:rPr/>
        <w:t>územní charakteristika</w:t>
      </w:r>
    </w:p>
    <w:p>
      <w:pPr>
        <w:pStyle w:val="style0"/>
        <w:rPr/>
      </w:pPr>
      <w:r>
        <w:rPr/>
        <w:t xml:space="preserve">Bezpečnostní situaci v okrese </w:t>
      </w:r>
      <w:r>
        <w:rPr>
          <w:b/>
        </w:rPr>
        <w:t>Liberec</w:t>
      </w:r>
      <w:r>
        <w:rPr/>
        <w:t xml:space="preserve"> ovlivňuje nerovnoměrné rozmístění obyvatel okresu s koncentrací v městských sídlech, v nichž žije 84,5% obyvatel, vysoká hustota osídlení (170,5 obyvatel na km²) a poloha okresu na hranicích se Spolkovou republikou Německo a Polskou republikou. </w:t>
      </w:r>
    </w:p>
    <w:p>
      <w:pPr>
        <w:pStyle w:val="style0"/>
        <w:rPr/>
      </w:pPr>
      <w:r>
        <w:rPr/>
        <w:t xml:space="preserve">Z pohledu územního odboru </w:t>
      </w:r>
      <w:r>
        <w:rPr>
          <w:b/>
        </w:rPr>
        <w:t>Semily</w:t>
      </w:r>
      <w:r>
        <w:rPr/>
        <w:t xml:space="preserve"> patří k největším rizikovým faktorům především to, že celé jeho teritorium patří k turisticky  nejnavštěvovanějším v rámci ČR a má nejvíce ubytovacích zařízení z celého Libereckého kraje. V létě je cílem turistů především oblast Českého ráje a v zimním období západní polovina Krkonoš. </w:t>
      </w:r>
    </w:p>
    <w:p>
      <w:pPr>
        <w:pStyle w:val="style0"/>
        <w:rPr/>
      </w:pPr>
      <w:r>
        <w:rPr/>
        <w:t xml:space="preserve">Obdobně je na tom v zimním období územní odbor </w:t>
      </w:r>
      <w:r>
        <w:rPr>
          <w:b/>
        </w:rPr>
        <w:t>Jablonec nad Nisou</w:t>
      </w:r>
      <w:r>
        <w:rPr/>
        <w:t xml:space="preserve"> s rekreačními středisky v Jizerských horách a v letním období územní odbor </w:t>
      </w:r>
      <w:r>
        <w:rPr>
          <w:b/>
        </w:rPr>
        <w:t>Česká Lípa</w:t>
      </w:r>
      <w:r>
        <w:rPr/>
        <w:t xml:space="preserve"> v oblasti okolo Máchova jezera, kde je soustředěno velké množství komerčních i soukromých rekreačních objektů, a kde je pořádáno velké množství významných kulturních akcí. </w:t>
      </w:r>
    </w:p>
    <w:p>
      <w:pPr>
        <w:pStyle w:val="style0"/>
        <w:rPr/>
      </w:pPr>
      <w:r>
        <w:rPr/>
        <w:t xml:space="preserve">Policie se zde tedy potýká s velkou migrací osob (pachatelů i poškozených). S turistickým ruchem souvisí i sezónnost v oblasti zaměstnávání v ubytovacích a rekreačních zařízeních. </w:t>
      </w:r>
    </w:p>
    <w:p>
      <w:pPr>
        <w:pStyle w:val="style0"/>
        <w:rPr/>
      </w:pPr>
      <w:r>
        <w:rPr/>
        <w:t>Velká členitost terénu okresů Jablonec nad Nisou, Liberec a Semily, poloha v takzvaném „Trojmezí“, přítomnost rychlostní komunikace spojující Liberecký kraj s Prahou a dále směřující do Spolkové republiky Německo a Polska, ovlivňuje rychlý a špatně kontrolovatelný pohyb pachatelů ze zahraničí a přináší sebou problémy s objasňováním trestné činnosti páchané pachateli z jiných krajů České republiky.</w:t>
      </w:r>
    </w:p>
    <w:p>
      <w:pPr>
        <w:pStyle w:val="style0"/>
        <w:rPr/>
      </w:pPr>
      <w:r>
        <w:rPr/>
      </w:r>
    </w:p>
    <w:p>
      <w:pPr>
        <w:pStyle w:val="style2"/>
        <w:rPr/>
      </w:pPr>
      <w:r>
        <w:rPr/>
        <w:t>Přehled vybrané trestné činnosti (zjištěné a objasněné trestné činy, objasněnost)</w:t>
      </w:r>
    </w:p>
    <w:p>
      <w:pPr>
        <w:pStyle w:val="style37"/>
        <w:numPr>
          <w:ilvl w:val="0"/>
          <w:numId w:val="1"/>
        </w:numPr>
        <w:rPr/>
      </w:pPr>
      <w:r>
        <w:rPr/>
        <w:t>celkový nápad za prvních sedm měsíců roku 2016 činil 5.715 TČ, to je o 1056 méně, než ve srovnatelném období roku 2015 – pokles nápadu o 15,6%</w:t>
      </w:r>
    </w:p>
    <w:p>
      <w:pPr>
        <w:pStyle w:val="style37"/>
        <w:numPr>
          <w:ilvl w:val="0"/>
          <w:numId w:val="1"/>
        </w:numPr>
        <w:rPr/>
      </w:pPr>
      <w:r>
        <w:rPr/>
        <w:t>nápad obecné kriminality je v roce 2016 celkem 4.152 TČ, to je o 992 méně, než v roce 2015 – pokles nápadu o 19,3%</w:t>
      </w:r>
    </w:p>
    <w:p>
      <w:pPr>
        <w:pStyle w:val="style37"/>
        <w:numPr>
          <w:ilvl w:val="0"/>
          <w:numId w:val="1"/>
        </w:numPr>
        <w:rPr/>
      </w:pPr>
      <w:r>
        <w:rPr/>
        <w:t>nápad hospodářské trestné činnosti je v roce 2016 celkem 670 TČ, což je o 20 méně, než v roce 2015 – pokles nápadu o 2,9%</w:t>
      </w:r>
    </w:p>
    <w:p>
      <w:pPr>
        <w:pStyle w:val="style37"/>
        <w:numPr>
          <w:ilvl w:val="0"/>
          <w:numId w:val="1"/>
        </w:numPr>
        <w:rPr/>
      </w:pPr>
      <w:r>
        <w:rPr/>
        <w:t>nápad trestné činnosti na linii TOXI v roce 2014 činí 144 TČ – pokles o 3 TČ (-2%)</w:t>
      </w:r>
    </w:p>
    <w:p>
      <w:pPr>
        <w:pStyle w:val="style37"/>
        <w:numPr>
          <w:ilvl w:val="0"/>
          <w:numId w:val="1"/>
        </w:numPr>
        <w:rPr/>
      </w:pPr>
      <w:r>
        <w:rPr/>
        <w:t>objasněnost v roce 2016 vzrostla na 47,5% z 45,3% v roce 2015</w:t>
      </w:r>
    </w:p>
    <w:p>
      <w:pPr>
        <w:pStyle w:val="style2"/>
        <w:rPr/>
      </w:pPr>
      <w:r>
        <w:rPr/>
        <w:t>Kriminalita mající vztah k „Trojmezí“</w:t>
      </w:r>
    </w:p>
    <w:p>
      <w:pPr>
        <w:pStyle w:val="style3"/>
        <w:rPr/>
      </w:pPr>
      <w:r>
        <w:rPr/>
        <w:t>Drogová trestná činnost</w:t>
      </w:r>
    </w:p>
    <w:p>
      <w:pPr>
        <w:pStyle w:val="style0"/>
        <w:rPr/>
      </w:pPr>
      <w:r>
        <w:rPr/>
        <w:t>Vzhledem k významné hranici s Polskou republikou je KŘP Libereckého kraje tranzitním krajem pro dovoz prekurzorů na výrobu pervitinu v rámci celé České republiky. Důvodem je volný prodej léků v Polské republice s obsahem látek, které slouží k výrobě OPL (Cirrus, Acatar, Sudafet atd.), na teritoriu Libereckého kraje, zejména v příhraničí, dochází k záchytům výše uvedených prekurskorů. Na záchytech se kromě Policie České republiky i významnou měrou podílí Celní správa. V naprosté většině případů prekursory směřovaly mimo území Libereckého kraje.</w:t>
      </w:r>
    </w:p>
    <w:p>
      <w:pPr>
        <w:pStyle w:val="style0"/>
        <w:rPr/>
      </w:pPr>
      <w:r>
        <w:rPr/>
      </w:r>
    </w:p>
    <w:p>
      <w:pPr>
        <w:pStyle w:val="style3"/>
        <w:rPr/>
      </w:pPr>
      <w:r>
        <w:rPr/>
        <w:t>Autokriminalita</w:t>
      </w:r>
    </w:p>
    <w:p>
      <w:pPr>
        <w:pStyle w:val="style0"/>
        <w:rPr/>
      </w:pPr>
      <w:r>
        <w:rPr/>
        <w:t>Organizované kriminální struktury páchají trestnou činnost současně na území tří států (SRN, PLR, ČR). Takovýto druh trestné činnosti, který jde současně napříč třemi státy v rámci otevřeného evropského prostoru, je velice náročný na jeho odhalování a dokumentování. Liberecká policie má v současné době informace, že se na území SRN trestné činnosti na úseku motorových vozidel významnou měrou podílejí spíše kriminální struktury z Polské republiky.</w:t>
      </w:r>
    </w:p>
    <w:p>
      <w:pPr>
        <w:pStyle w:val="style0"/>
        <w:rPr/>
      </w:pPr>
      <w:r>
        <w:rPr/>
        <w:t xml:space="preserve">Z výstupů saské policie je patrné, že mezi zadrženými pachateli krádeží motorových vozidel je minimum pachatelů z Libereckého kraje – tato skutečnost zřejmě souvisí i s malou délkou společné státní hranice. </w:t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t xml:space="preserve"> </w:t>
      </w:r>
    </w:p>
    <w:p>
      <w:pPr>
        <w:pStyle w:val="style0"/>
        <w:rPr/>
      </w:pPr>
      <w:r>
        <w:rPr/>
      </w:r>
    </w:p>
    <w:p>
      <w:pPr>
        <w:pStyle w:val="style2"/>
        <w:rPr/>
      </w:pPr>
      <w:r>
        <w:rPr/>
        <w:t>Vývojové trendy ve struktuře kriminality v rámci kraje, porovnání za 5 let</w:t>
      </w:r>
    </w:p>
    <w:p>
      <w:pPr>
        <w:pStyle w:val="style39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</w:r>
    </w:p>
    <w:p>
      <w:pPr>
        <w:pStyle w:val="style0"/>
        <w:rPr/>
      </w:pPr>
      <w:r>
        <w:rPr/>
        <w:t xml:space="preserve">Ze statistik ESSK je zřejmý významný pokles nápadu celkové kriminality. V rámci celé České republiky je pokles nápadu celkové kriminality v roce 2015 oproti roku 2010 o 21% (o 65762 skutků), na území Libereckého kraje je to o 19% (o 2 609 skutků). Procentuální objasněnost celkové kriminality v tomto obdob mírně stoupá, v Libereckém kraji se pohybuje okolo 47%, v rámci celé ČR okolo 43%. Důvodem celkového nápadu poklesu kriminality je </w:t>
      </w:r>
      <w:r>
        <w:rPr>
          <w:b/>
        </w:rPr>
        <w:t>pokles</w:t>
      </w:r>
      <w:r>
        <w:rPr/>
        <w:t xml:space="preserve"> v kategoriích zejména </w:t>
      </w:r>
      <w:r>
        <w:rPr>
          <w:b/>
        </w:rPr>
        <w:t xml:space="preserve">majetkové trestné činnosti </w:t>
      </w:r>
      <w:r>
        <w:rPr/>
        <w:t xml:space="preserve">i u některých kategorií násilné trestné činnosti (viz přiložená tabulka a grafické znázornění). Naproti tomu nápad i objasněnost  hospodářských trestných činů se statisticky významně nemění. </w:t>
      </w:r>
    </w:p>
    <w:p>
      <w:pPr>
        <w:pStyle w:val="style0"/>
        <w:rPr/>
      </w:pPr>
      <w:r>
        <w:rPr/>
        <w:t xml:space="preserve">Vývojové trendy ve struktuře kriminality jsou v Libereckém kraji obdobné jako v celé ČR. Sice zaznamenáváme statistický pokles nápadu trestné činnosti, ale mění se struktura a způsoby páchání trestné činnosti. Tyto změny jsou zřejmé zejména u hospodářských trestných činů, které vyplývají z některých realizovaných legislativních změn nejen na úseku daní.  Mění se i skladba trestných činů na úseku obecné kriminality, stále ve větší míře je do páchání trestných činů na tomto úseku zapojována výpočetní technika. Proto je tzv. </w:t>
      </w:r>
      <w:r>
        <w:rPr>
          <w:b/>
        </w:rPr>
        <w:t>kybernetické kriminalitě</w:t>
      </w:r>
      <w:r>
        <w:rPr/>
        <w:t xml:space="preserve"> v posledním období věnována zvýšená pozornost, stejně jako v rámci celé ČR i na  území Libereckého kraje. S ohledem na polohu Libereckého kraje, který má společnou státní hranici s Polskem a SRN je zvýšená pozornost věnována tzv. přeshraniční kriminalitě a kriminalitě páchané cizinci, tedy i spolupráci s policejními orgány sousedních zemí. Zvláštní pozornost je v Libereckém kraji věnována úseku nealkoholových toxikománií, kde je statisticky v roce 2015 oproti roku 2010 zadokumentováno téměř o 100% případů nedovolené výroby, přechovávaní  a distribuce drog více. Ve většině případů se jedná o tzv. vyhledanou trestnou činnost, proto se o tento vysoký statistický nárůst významným podílem zasloužil specializovaný pracovní tým, tzv. toxi tým, zřízený ředitelem KŘP Libereckého kraje.    </w:t>
      </w:r>
    </w:p>
    <w:p>
      <w:pPr>
        <w:pStyle w:val="style0"/>
        <w:rPr/>
      </w:pPr>
      <w:r>
        <w:rPr/>
      </w:r>
    </w:p>
    <w:p>
      <w:pPr>
        <w:pStyle w:val="style2"/>
        <w:rPr/>
      </w:pPr>
      <w:r>
        <w:rPr/>
        <w:t>Hlavní kriminogenní faktory</w:t>
      </w:r>
    </w:p>
    <w:p>
      <w:pPr>
        <w:pStyle w:val="style0"/>
        <w:rPr/>
      </w:pPr>
      <w:r>
        <w:rPr/>
        <w:t>Kriminogenními faktory v Libereckém kraji jsou</w:t>
      </w:r>
    </w:p>
    <w:p>
      <w:pPr>
        <w:pStyle w:val="style37"/>
        <w:numPr>
          <w:ilvl w:val="0"/>
          <w:numId w:val="1"/>
        </w:numPr>
        <w:rPr/>
      </w:pPr>
      <w:r>
        <w:rPr/>
        <w:t>nezaměstnanost</w:t>
      </w:r>
    </w:p>
    <w:p>
      <w:pPr>
        <w:pStyle w:val="style37"/>
        <w:numPr>
          <w:ilvl w:val="0"/>
          <w:numId w:val="1"/>
        </w:numPr>
        <w:rPr/>
      </w:pPr>
      <w:r>
        <w:rPr/>
        <w:t>amnestie prezidenta České republiky</w:t>
      </w:r>
    </w:p>
    <w:p>
      <w:pPr>
        <w:pStyle w:val="style37"/>
        <w:numPr>
          <w:ilvl w:val="0"/>
          <w:numId w:val="1"/>
        </w:numPr>
        <w:rPr/>
      </w:pPr>
      <w:r>
        <w:rPr/>
        <w:t>demografické rozložení a geografická poloha</w:t>
      </w:r>
    </w:p>
    <w:p>
      <w:pPr>
        <w:pStyle w:val="style37"/>
        <w:numPr>
          <w:ilvl w:val="0"/>
          <w:numId w:val="1"/>
        </w:numPr>
        <w:rPr/>
      </w:pPr>
      <w:r>
        <w:rPr/>
        <w:t>sportovní a kulturní akce</w:t>
      </w:r>
    </w:p>
    <w:p>
      <w:pPr>
        <w:pStyle w:val="style37"/>
        <w:numPr>
          <w:ilvl w:val="0"/>
          <w:numId w:val="1"/>
        </w:numPr>
        <w:rPr/>
      </w:pPr>
      <w:r>
        <w:rPr/>
        <w:t>personální situace v Policii České republiky</w:t>
      </w:r>
    </w:p>
    <w:p>
      <w:pPr>
        <w:pStyle w:val="style0"/>
        <w:spacing w:after="160" w:before="0" w:line="256" w:lineRule="auto"/>
        <w:ind w:hanging="0" w:left="0" w:right="0"/>
        <w:contextualSpacing w:val="false"/>
        <w:jc w:val="left"/>
        <w:rPr/>
      </w:pPr>
      <w:r>
        <w:rPr/>
      </w:r>
    </w:p>
    <w:p>
      <w:pPr>
        <w:pStyle w:val="style37"/>
        <w:pageBreakBefore/>
        <w:rPr/>
      </w:pPr>
      <w:r>
        <w:rPr/>
      </w:r>
    </w:p>
    <w:p>
      <w:pPr>
        <w:pStyle w:val="style2"/>
        <w:rPr/>
      </w:pPr>
      <w:r>
        <w:rPr/>
        <w:t>Dopravní nehodovost - vývoj dopravní nehodovosti v Libereckém kraji za posledních 5 let (2011-2015)</w:t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  <w:t xml:space="preserve">Vývoj dopravní nehodovosti v Libereckém kraji za období posledních pěti let považujeme za </w:t>
      </w:r>
      <w:r>
        <w:rPr>
          <w:b/>
        </w:rPr>
        <w:t>poměrně uspokojivý</w:t>
      </w:r>
      <w:r>
        <w:rPr/>
        <w:t xml:space="preserve">. Nejméně nehod v tomto období bylo šetřeno v roce 2014  (3572) a naopak nejvíce nehod bylo šetřeno v roce 2015 (3889), přitom oproti roku 2011 došlo k nárůstu o 269 nehod. Pokud jde o vývoj dopravních nehod se smrtelným zraněním, nejméně usmrcených osob bylo evidováno v roce 2013 (20) a nejvíce v roce 2014 (28). Vývoj počtu těžce zraněných osob dlouhodobě osciluje kolem hranice 120 osob ročně a podobně je tomu u lehce zraněných, kdy se tento počet dlouhodobě pohybuje kolem hranice 1100 osob ročně.  Závažnost nehod je na území Libereckého kraje v rámci ČR dlouhodobě velmi nízká, počet usmrcených osob za rok je průměrně druhý nejnižší, přitom počet usmrcených osob v loňském roce na území Libereckého kraje byl v rámci ČR vůbec nejnižší. Nejčastějšími viníky jsou řidiči osobních a nákladních automobilů, nezjištění řidiči a lesní nebo domácí zvíře a zejména u posledně jmenovaných viníků zaznamenáváme, poslední roky výrazný nárůst nehod např. v roce 2014 jich bylo evidováno (264) a v roce 2015 již (587) nehod. Jedná se o celorepublikový trend, který je vysvětlován možným přemnožením lesní zvěře a také možností připojištění vozidel na takový druh nehody v rámci sjednávání povinného ručení a tím zvýšené motivace řidičů oznamovat takové nehody Policii ČR. Nejvíce nehod připadá na místní komunikace v intravilánu, přitom nejvíce usmrcených bylo u nehod na silnicích I. třídy v extravilánu. Nejčastějším druhem nehody byla srážka s pevnou překážkou a srážka jedoucích vozidel, která se pohybuje v obou případech kolem 30% z celkového počtu nehod. Nesprávný způsob jízdy a nepřiměřená rychlost jízdy patří dlouhodobě mezi nejčastější příčiny nehod v našem kraji. Uvedené hlavní příčiny mají na svědomí i nejvážnější následky tzn. vážná zranění a lidské životy. Pro názornost přikládáme grafy o vývoji dopravní nehodovosti za posledních 5 let, které se staly na teritoriu Krajského ředitelství policie Libereckého kraje.   </w:t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2"/>
        <w:rPr/>
      </w:pPr>
      <w:r>
        <w:rPr/>
        <w:t>Personální stav a vývoj</w:t>
      </w:r>
    </w:p>
    <w:p>
      <w:pPr>
        <w:pStyle w:val="style0"/>
        <w:rPr/>
      </w:pPr>
      <w:r>
        <w:rPr/>
        <w:t>Krajské ředitelství policie Libereckého kraje vznikalo s 1455 systemizovaným služebními místa, v současné době jich má k dispozici 1338 (-117). Počet pracovních míst je od roku 2013 neměnný.</w:t>
      </w:r>
    </w:p>
    <w:p>
      <w:pPr>
        <w:pStyle w:val="style0"/>
        <w:spacing w:after="160" w:before="0" w:line="256" w:lineRule="auto"/>
        <w:ind w:hanging="0" w:left="0" w:right="0"/>
        <w:contextualSpacing w:val="false"/>
        <w:jc w:val="left"/>
        <w:rPr/>
      </w:pPr>
      <w:r>
        <w:rPr/>
      </w:r>
    </w:p>
    <w:p>
      <w:pPr>
        <w:pStyle w:val="style37"/>
        <w:pageBreakBefore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2"/>
        <w:rPr/>
      </w:pPr>
      <w:r>
        <w:rPr/>
        <w:t>Problematika migrace, terorismu a extremismu na teritoriu Krajského ředitelství policie Libereckého kraje</w:t>
      </w:r>
    </w:p>
    <w:p>
      <w:pPr>
        <w:pStyle w:val="style2"/>
        <w:rPr/>
      </w:pPr>
      <w:r>
        <w:rPr/>
        <w:t>Nelegální migrace:</w:t>
      </w:r>
    </w:p>
    <w:p>
      <w:pPr>
        <w:pStyle w:val="style0"/>
        <w:rPr/>
      </w:pPr>
      <w:r>
        <w:rPr/>
        <w:t xml:space="preserve">V roce 2016 byl zaznamenán jeden případ neoprávněného vstupu cizích státních příslušníků z třetích zemí v souvislosti s nelegálním přeshraničním pohybem a to syrský manželský pár, který přejel SH vlakovým spojem, kdy byl hned  na území ČR Hrádek nad Nisou zajištěn a poté předán v rámci readmise zpět do SRN. </w:t>
      </w:r>
    </w:p>
    <w:p>
      <w:pPr>
        <w:pStyle w:val="style0"/>
        <w:rPr/>
      </w:pPr>
      <w:r>
        <w:rPr/>
        <w:t>V roce 2015 byl zaznamenán jeden případ, kdy státní občan SRN společně se státní občankou Sýrie přijel na turistickou návštěvu v Liberci. Občanka Sýrie byla na území ČR neoprávněně, byla zajištěna a v rámci readmise předána do SRN.</w:t>
      </w:r>
    </w:p>
    <w:p>
      <w:pPr>
        <w:pStyle w:val="style4"/>
        <w:rPr/>
      </w:pPr>
      <w:r>
        <w:rPr/>
        <w:t>Liberecký kraj:</w:t>
      </w:r>
    </w:p>
    <w:p>
      <w:pPr>
        <w:pStyle w:val="style0"/>
        <w:rPr/>
      </w:pPr>
      <w:r>
        <w:rPr/>
        <w:t>V okolí státní hranice na území SRN, se nachází několik centralizovaných ubytovacích zařízení pro žadatele o mezinárodní ochranu v SRN.</w:t>
      </w:r>
    </w:p>
    <w:p>
      <w:pPr>
        <w:pStyle w:val="style0"/>
        <w:ind w:hanging="0" w:left="0" w:right="0"/>
        <w:rPr/>
      </w:pPr>
      <w:r>
        <w:rPr/>
        <w:t>1. Zittau (cca 3km od SH s počtem cca 180 osob),</w:t>
      </w:r>
    </w:p>
    <w:p>
      <w:pPr>
        <w:pStyle w:val="style0"/>
        <w:ind w:hanging="0" w:left="0" w:right="0"/>
        <w:rPr/>
      </w:pPr>
      <w:r>
        <w:rPr/>
        <w:t>2. Löbau (cca 30 km od SH s počtem cca 250 osob,</w:t>
      </w:r>
    </w:p>
    <w:p>
      <w:pPr>
        <w:pStyle w:val="style0"/>
        <w:ind w:hanging="0" w:left="0" w:right="0"/>
        <w:rPr/>
      </w:pPr>
      <w:r>
        <w:rPr/>
        <w:t>3. Großschönau (cca 20 km od SH s počtem cca 20 osob),</w:t>
      </w:r>
    </w:p>
    <w:p>
      <w:pPr>
        <w:pStyle w:val="style0"/>
        <w:ind w:hanging="0" w:left="0" w:right="0"/>
        <w:rPr/>
      </w:pPr>
      <w:r>
        <w:rPr/>
        <w:t>4. Friedersdorf (cca 30 km od SH s počtem cca 60 osob).</w:t>
      </w:r>
    </w:p>
    <w:p>
      <w:pPr>
        <w:pStyle w:val="style0"/>
        <w:rPr/>
      </w:pPr>
      <w:r>
        <w:rPr/>
        <w:t>Dále jsou u SH umístěny necentralizované ubytovací kapacity, kdy se jedná zejména o byty: Zittau (počet osob cca 200), Löbau (cca 150), Ostritz (cca 25), Friedersdorf (cca 25 osob).</w:t>
      </w:r>
    </w:p>
    <w:p>
      <w:pPr>
        <w:pStyle w:val="style37"/>
        <w:rPr/>
      </w:pPr>
      <w:r>
        <w:rPr/>
      </w:r>
    </w:p>
    <w:p>
      <w:pPr>
        <w:pStyle w:val="style4"/>
        <w:rPr/>
      </w:pPr>
      <w:r>
        <w:rPr/>
        <w:t>Zadržené neregulérní doklady:</w:t>
      </w:r>
    </w:p>
    <w:p>
      <w:pPr>
        <w:pStyle w:val="style0"/>
        <w:rPr/>
      </w:pPr>
      <w:r>
        <w:rPr/>
      </w:r>
    </w:p>
    <w:tbl>
      <w:tblPr>
        <w:jc w:val="left"/>
        <w:tblInd w:type="dxa" w:w="-743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1716"/>
        <w:gridCol w:w="1083"/>
        <w:gridCol w:w="1055"/>
        <w:gridCol w:w="1056"/>
        <w:gridCol w:w="924"/>
        <w:gridCol w:w="924"/>
        <w:gridCol w:w="1055"/>
        <w:gridCol w:w="1319"/>
        <w:gridCol w:w="797"/>
      </w:tblGrid>
      <w:tr>
        <w:trPr>
          <w:trHeight w:hRule="atLeast" w:val="315"/>
          <w:cantSplit w:val="false"/>
        </w:trPr>
        <w:tc>
          <w:tcPr>
            <w:tcW w:type="dxa" w:w="171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Druh dokladu</w:t>
            </w:r>
          </w:p>
        </w:tc>
        <w:tc>
          <w:tcPr>
            <w:tcW w:type="dxa" w:w="1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12x PTO</w:t>
            </w:r>
          </w:p>
        </w:tc>
        <w:tc>
          <w:tcPr>
            <w:tcW w:type="dxa" w:w="1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7x ŘP</w:t>
            </w:r>
          </w:p>
        </w:tc>
        <w:tc>
          <w:tcPr>
            <w:tcW w:type="dxa" w:w="10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1x CP</w:t>
            </w:r>
          </w:p>
        </w:tc>
        <w:tc>
          <w:tcPr>
            <w:tcW w:type="dxa" w:w="9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1x RL</w:t>
            </w:r>
          </w:p>
        </w:tc>
        <w:tc>
          <w:tcPr>
            <w:tcW w:type="dxa" w:w="9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1xPKP</w:t>
            </w:r>
          </w:p>
        </w:tc>
        <w:tc>
          <w:tcPr>
            <w:tcW w:type="dxa" w:w="1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2x jiné</w:t>
            </w:r>
          </w:p>
        </w:tc>
        <w:tc>
          <w:tcPr>
            <w:tcW w:type="dxa" w:w="13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  <w:tc>
          <w:tcPr>
            <w:tcW w:type="dxa" w:w="79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</w:tr>
      <w:tr>
        <w:trPr>
          <w:trHeight w:hRule="atLeast" w:val="243"/>
          <w:cantSplit w:val="false"/>
        </w:trPr>
        <w:tc>
          <w:tcPr>
            <w:tcW w:type="dxa" w:w="171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STP dokladu</w:t>
            </w:r>
          </w:p>
        </w:tc>
        <w:tc>
          <w:tcPr>
            <w:tcW w:type="dxa" w:w="1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10x ROU</w:t>
            </w:r>
          </w:p>
        </w:tc>
        <w:tc>
          <w:tcPr>
            <w:tcW w:type="dxa" w:w="1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4x CZE</w:t>
            </w:r>
          </w:p>
        </w:tc>
        <w:tc>
          <w:tcPr>
            <w:tcW w:type="dxa" w:w="10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3x MDA</w:t>
            </w:r>
          </w:p>
        </w:tc>
        <w:tc>
          <w:tcPr>
            <w:tcW w:type="dxa" w:w="9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2x LTU</w:t>
            </w:r>
          </w:p>
        </w:tc>
        <w:tc>
          <w:tcPr>
            <w:tcW w:type="dxa" w:w="9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2x BGR</w:t>
            </w:r>
          </w:p>
        </w:tc>
        <w:tc>
          <w:tcPr>
            <w:tcW w:type="dxa" w:w="1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1x SVK</w:t>
            </w:r>
          </w:p>
        </w:tc>
        <w:tc>
          <w:tcPr>
            <w:tcW w:type="dxa" w:w="13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 xml:space="preserve"> </w:t>
            </w:r>
            <w:r>
              <w:rPr/>
              <w:t>1x smyšlený</w:t>
            </w:r>
          </w:p>
        </w:tc>
        <w:tc>
          <w:tcPr>
            <w:tcW w:type="dxa" w:w="79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</w:tr>
      <w:tr>
        <w:trPr>
          <w:trHeight w:hRule="atLeast" w:val="252"/>
          <w:cantSplit w:val="false"/>
        </w:trPr>
        <w:tc>
          <w:tcPr>
            <w:tcW w:type="dxa" w:w="171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STP předložitele</w:t>
            </w:r>
          </w:p>
        </w:tc>
        <w:tc>
          <w:tcPr>
            <w:tcW w:type="dxa" w:w="1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9x UKR</w:t>
            </w:r>
          </w:p>
        </w:tc>
        <w:tc>
          <w:tcPr>
            <w:tcW w:type="dxa" w:w="1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6x MDA</w:t>
            </w:r>
          </w:p>
        </w:tc>
        <w:tc>
          <w:tcPr>
            <w:tcW w:type="dxa" w:w="10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2x CZE</w:t>
            </w:r>
          </w:p>
        </w:tc>
        <w:tc>
          <w:tcPr>
            <w:tcW w:type="dxa" w:w="9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1x ITA</w:t>
            </w:r>
          </w:p>
        </w:tc>
        <w:tc>
          <w:tcPr>
            <w:tcW w:type="dxa" w:w="9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1x RUS</w:t>
            </w:r>
          </w:p>
        </w:tc>
        <w:tc>
          <w:tcPr>
            <w:tcW w:type="dxa" w:w="1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1x RKS</w:t>
            </w:r>
          </w:p>
        </w:tc>
        <w:tc>
          <w:tcPr>
            <w:tcW w:type="dxa" w:w="13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1x SVK</w:t>
            </w:r>
          </w:p>
        </w:tc>
        <w:tc>
          <w:tcPr>
            <w:tcW w:type="dxa" w:w="79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3x nezj</w:t>
            </w:r>
          </w:p>
        </w:tc>
      </w:tr>
      <w:tr>
        <w:trPr>
          <w:trHeight w:hRule="atLeast" w:val="298"/>
          <w:cantSplit w:val="false"/>
        </w:trPr>
        <w:tc>
          <w:tcPr>
            <w:tcW w:type="dxa" w:w="171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Celkem</w:t>
            </w:r>
          </w:p>
        </w:tc>
        <w:tc>
          <w:tcPr>
            <w:tcW w:type="dxa" w:w="108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  <w:t>24</w:t>
            </w:r>
          </w:p>
        </w:tc>
        <w:tc>
          <w:tcPr>
            <w:tcW w:type="dxa" w:w="1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  <w:tc>
          <w:tcPr>
            <w:tcW w:type="dxa" w:w="10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  <w:tc>
          <w:tcPr>
            <w:tcW w:type="dxa" w:w="9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  <w:tc>
          <w:tcPr>
            <w:tcW w:type="dxa" w:w="9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  <w:tc>
          <w:tcPr>
            <w:tcW w:type="dxa" w:w="105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  <w:tc>
          <w:tcPr>
            <w:tcW w:type="dxa" w:w="131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  <w:tc>
          <w:tcPr>
            <w:tcW w:type="dxa" w:w="79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120"/>
              <w:ind w:hanging="0" w:left="0" w:right="0"/>
              <w:contextualSpacing w:val="false"/>
              <w:rPr/>
            </w:pPr>
            <w:r>
              <w:rPr/>
            </w:r>
          </w:p>
        </w:tc>
      </w:tr>
    </w:tbl>
    <w:p>
      <w:pPr>
        <w:pStyle w:val="style38"/>
        <w:numPr>
          <w:ilvl w:val="0"/>
          <w:numId w:val="2"/>
        </w:numPr>
        <w:rPr/>
      </w:pPr>
      <w:r>
        <w:rPr/>
        <w:t>PTO - průkaz totožnosti, ŘP - řidičský průkaz, CP - cestovní pas, RL - rodný list, PKP - průkaz k pobytu cizince</w:t>
      </w:r>
    </w:p>
    <w:p>
      <w:pPr>
        <w:pStyle w:val="style38"/>
        <w:numPr>
          <w:ilvl w:val="0"/>
          <w:numId w:val="2"/>
        </w:numPr>
        <w:rPr/>
      </w:pPr>
      <w:r>
        <w:rPr/>
      </w:r>
    </w:p>
    <w:p>
      <w:pPr>
        <w:pStyle w:val="style4"/>
        <w:rPr/>
      </w:pPr>
      <w:r>
        <w:rPr/>
        <w:t xml:space="preserve">Akce probíhající s mimoresortnímy subjekty: </w:t>
      </w:r>
    </w:p>
    <w:p>
      <w:pPr>
        <w:pStyle w:val="style0"/>
        <w:rPr/>
      </w:pPr>
      <w:r>
        <w:rPr/>
        <w:t xml:space="preserve"> </w:t>
      </w:r>
      <w:r>
        <w:rPr/>
        <w:t>Probíhaly mimo resort (cca 5x/měsíčně v I. pololetí roku 2016) s Oblastním inspektorátem práce, Celním úřadem, Dopravním podnikem města Liberec atd.</w:t>
      </w:r>
    </w:p>
    <w:p>
      <w:pPr>
        <w:pStyle w:val="style0"/>
        <w:rPr/>
      </w:pPr>
      <w:r>
        <w:rPr/>
      </w:r>
    </w:p>
    <w:p>
      <w:pPr>
        <w:pStyle w:val="style4"/>
        <w:rPr/>
      </w:pPr>
      <w:r>
        <w:rPr/>
        <w:t>Výslednost Odboru cizinecké policie KŘP Libereckého kraje za 1. pololetí 2016:</w:t>
        <w:drawing>
          <wp:anchor allowOverlap="1" behindDoc="1" distB="0" distL="0" distR="0" distT="0" layoutInCell="1" locked="0" relativeHeight="1" simplePos="0">
            <wp:simplePos x="0" y="0"/>
            <wp:positionH relativeFrom="column">
              <wp:posOffset>-80645</wp:posOffset>
            </wp:positionH>
            <wp:positionV relativeFrom="paragraph">
              <wp:posOffset>383540</wp:posOffset>
            </wp:positionV>
            <wp:extent cx="5796280" cy="2128520"/>
            <wp:effectExtent b="0" l="0" r="0" t="0"/>
            <wp:wrapSquare wrapText="bothSides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280" cy="212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  <w:tab/>
        <w:tab/>
        <w:tab/>
        <w:drawing>
          <wp:anchor allowOverlap="1" behindDoc="0" distB="0" distL="0" distR="0" distT="0" layoutInCell="1" locked="0" relativeHeight="0" simplePos="0">
            <wp:simplePos x="0" y="0"/>
            <wp:positionH relativeFrom="margin">
              <wp:posOffset>1694815</wp:posOffset>
            </wp:positionH>
            <wp:positionV relativeFrom="paragraph">
              <wp:posOffset>2349500</wp:posOffset>
            </wp:positionV>
            <wp:extent cx="2371725" cy="1009650"/>
            <wp:effectExtent b="0" l="0" r="0" t="0"/>
            <wp:wrapNone/>
            <wp:docPr descr="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/>
      </w:pPr>
      <w:r>
        <w:rPr/>
      </w:r>
    </w:p>
    <w:p>
      <w:pPr>
        <w:pStyle w:val="style0"/>
        <w:rPr>
          <w:u w:val="single"/>
        </w:rPr>
      </w:pPr>
      <w:r>
        <w:rPr>
          <w:u w:val="single"/>
        </w:rPr>
      </w:r>
    </w:p>
    <w:p>
      <w:pPr>
        <w:pStyle w:val="style0"/>
        <w:rPr/>
      </w:pPr>
      <w:r>
        <w:rPr/>
      </w:r>
    </w:p>
    <w:p>
      <w:pPr>
        <w:pStyle w:val="style2"/>
        <w:rPr/>
      </w:pPr>
      <w:r>
        <w:rPr/>
        <w:t>Dopady naplňování koncepčního materiálu Rozvoj policie v letech 2016 – 2020 na obslužnost (zejména) obvodních oddělení policie pro obce a veřejnost</w:t>
      </w:r>
    </w:p>
    <w:p>
      <w:pPr>
        <w:pStyle w:val="style37"/>
        <w:rPr/>
      </w:pPr>
      <w:r>
        <w:rPr/>
      </w:r>
    </w:p>
    <w:p>
      <w:pPr>
        <w:pStyle w:val="style0"/>
        <w:rPr/>
      </w:pPr>
      <w:r>
        <w:rPr/>
        <w:t>Přestože je koncept rozvoje policie v následujícím období vnímán vedením krajského ředitelství pozitivně, jeho faktické dopady v podmínkách Libereckého kraje příliš pozitivní být nemohou. V pětiletém období by mělo Krajské ředitelství policie Libereckého kraje obdržet 40 (z celkově 4.000) nových systemizovaných služebních míst určených pro posílení pořádkové policie. Takové navýšení početních stavů se jen s obtížemi promítne do zlepšení bezpečnostní situace v Libereckém kraji. Dopady koncepčního materiálu na obslužnost obvodních oddělení pro obce a veřejnost proto hodnotit nelze.</w:t>
      </w:r>
    </w:p>
    <w:p>
      <w:pPr>
        <w:pStyle w:val="style0"/>
        <w:rPr/>
      </w:pPr>
      <w:r>
        <w:rPr/>
        <w:t>Kladně je třeba hodnotit posilování služby kriminální policie a vyšetřování na některých problematických liniích (TOXI, kyberkriminalita).</w:t>
      </w:r>
    </w:p>
    <w:p>
      <w:pPr>
        <w:pStyle w:val="style37"/>
        <w:rPr/>
      </w:pPr>
      <w:r>
        <w:rPr/>
      </w:r>
    </w:p>
    <w:p>
      <w:pPr>
        <w:pStyle w:val="style2"/>
        <w:rPr/>
      </w:pPr>
      <w:r>
        <w:rPr/>
        <w:t>Mezinárodní policejní spolupráce</w:t>
      </w:r>
    </w:p>
    <w:p>
      <w:pPr>
        <w:pStyle w:val="style0"/>
        <w:rPr/>
      </w:pPr>
      <w:r>
        <w:rPr/>
        <w:t>Spolupráce se zahraničními partnery probíhá intenzivně na všech úrovních organizační struktury KŘP LK. Úzké kontakty a přímá spolupráce jsou navázány zejm. s Policejním ředitelstvím Görlitz (Saská zemská policie), Policejním ředitelstvím Pirna (Spolková policie), Krajským ředitelstvím policie Wroclaw (polská policie) a Velitelstvím nadoderského  oddílu pohraniční stráže v Krosně (polská pohraniční stráž). Za první pololetí roku 2016 bylo uskutečněno celkem 58 zahraničních styků (pracovních, součinnostních a koordinačních jednání a schůzek) a 70 společných hlídek.</w:t>
      </w:r>
    </w:p>
    <w:p>
      <w:pPr>
        <w:pStyle w:val="style4"/>
        <w:rPr/>
      </w:pPr>
      <w:r>
        <w:rPr/>
        <w:t>Společné hlídky</w:t>
      </w:r>
    </w:p>
    <w:p>
      <w:pPr>
        <w:pStyle w:val="style0"/>
        <w:rPr/>
      </w:pPr>
      <w:r>
        <w:rPr/>
        <w:t xml:space="preserve">V rámci společných hlídek je kladen důraz především na preventivní činnost za účelem předcházení trestným činům a přestupkům (kontroly v centrech měst a obcí, v problematických </w:t>
        <w:br/>
        <w:t xml:space="preserve">a zájmových lokalitách, na parkovištích, v rekreačních oblastech, apod.). Dále se společné hlídky věnují komunikaci s veřejností, poradenské činnosti, spolupůsobení při zajišťování větších kulturně-sportovních akcí, řízení dopravy a dohled nad BESIP. </w:t>
      </w:r>
    </w:p>
    <w:p>
      <w:pPr>
        <w:pStyle w:val="style0"/>
        <w:rPr/>
      </w:pPr>
      <w:r>
        <w:rPr/>
        <w:t>Nasazeny např. na akce „Jizerská 50“, „Bieg Piastów“,  „Den mužů“, návštěva spolkového prezidenta Joachima Gaucka v Zittau, „Desenská pouť“, „Malevil Cup“, „Železnobrodský jarmark“ nebo „Maloskalská noc“.</w:t>
      </w:r>
    </w:p>
    <w:p>
      <w:pPr>
        <w:pStyle w:val="style0"/>
        <w:rPr/>
      </w:pPr>
      <w:r>
        <w:rPr/>
      </w:r>
    </w:p>
    <w:p>
      <w:pPr>
        <w:pStyle w:val="style0"/>
        <w:rPr>
          <w:sz w:val="18"/>
          <w:szCs w:val="18"/>
        </w:rPr>
      </w:pPr>
      <w:r>
        <w:rPr>
          <w:sz w:val="18"/>
          <w:szCs w:val="18"/>
        </w:rPr>
        <w:t>Zpracovala KŘ KŘP LK</w:t>
      </w:r>
    </w:p>
    <w:sectPr>
      <w:footerReference r:id="rId4" w:type="default"/>
      <w:type w:val="nextPage"/>
      <w:pgSz w:h="16838" w:w="11906"/>
      <w:pgMar w:bottom="1417" w:footer="709" w:gutter="0" w:header="0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6"/>
      <w:spacing w:after="0" w:before="120"/>
      <w:contextualSpacing w:val="false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8</w:t>
    </w:r>
    <w:r>
      <w:fldChar w:fldCharType="end"/>
    </w:r>
  </w:p>
  <w:p>
    <w:pPr>
      <w:pStyle w:val="style36"/>
      <w:rPr/>
    </w:pPr>
    <w:r>
      <w:rPr/>
    </w:r>
  </w:p>
</w:ftr>
</file>

<file path=word/numbering.xml><?xml version="1.0" encoding="utf-8"?>
<w:numbering xmlns:o="urn:schemas-microsoft-com:office:office" xmlns:r="http://schemas.openxmlformats.org/officeDocument/2006/relationships" xmlns:v="urn:schemas-microsoft-com:vml" xmlns:w="http://schemas.openxmlformats.org/wordprocessingml/2006/main">
  <w:abstractNum w:abstractNumId="1">
    <w:lvl w:ilvl="0">
      <w:start w:val="1"/>
      <w:numFmt w:val="bullet"/>
      <w:lvlText w:val="-"/>
      <w:lvlJc w:val="left"/>
      <w:pPr>
        <w:ind w:hanging="360" w:left="720"/>
      </w:pPr>
      <w:rPr>
        <w:rFonts w:ascii="Arial" w:cs="Arial" w:hAnsi="Aria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ascii="Symbol" w:cs="Symbol" w:hAnsi="Symbol" w:hint="default"/>
      </w:r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>
        <w:tab w:leader="none" w:pos="9781" w:val="left"/>
      </w:tabs>
      <w:suppressAutoHyphens w:val="true"/>
      <w:spacing w:after="0" w:before="120" w:line="276" w:lineRule="auto"/>
      <w:ind w:firstLine="425" w:left="0" w:right="0"/>
      <w:contextualSpacing w:val="false"/>
      <w:jc w:val="both"/>
    </w:pPr>
    <w:rPr>
      <w:rFonts w:ascii="Arial" w:cs="Arial" w:eastAsia="SimSun" w:hAnsi="Arial"/>
      <w:color w:val="auto"/>
      <w:sz w:val="24"/>
      <w:szCs w:val="24"/>
      <w:lang w:bidi="ar-SA" w:eastAsia="cs-CZ" w:val="cs-CZ"/>
    </w:rPr>
  </w:style>
  <w:style w:styleId="style1" w:type="paragraph">
    <w:name w:val="Nadpis 1"/>
    <w:basedOn w:val="style0"/>
    <w:next w:val="style1"/>
    <w:pPr>
      <w:keepNext/>
      <w:keepLines/>
      <w:spacing w:after="0" w:before="240"/>
      <w:ind w:hanging="0" w:left="0" w:right="0"/>
      <w:contextualSpacing w:val="false"/>
      <w:jc w:val="center"/>
    </w:pPr>
    <w:rPr>
      <w:rFonts w:ascii="Calibri Light" w:cs="" w:hAnsi="Calibri Light"/>
      <w:color w:val="2E74B5"/>
      <w:sz w:val="32"/>
      <w:szCs w:val="32"/>
    </w:rPr>
  </w:style>
  <w:style w:styleId="style2" w:type="paragraph">
    <w:name w:val="Nadpis 2"/>
    <w:basedOn w:val="style0"/>
    <w:next w:val="style2"/>
    <w:pPr>
      <w:keepNext/>
      <w:keepLines/>
      <w:spacing w:after="0" w:before="40"/>
      <w:ind w:hanging="0" w:left="0" w:right="0"/>
      <w:contextualSpacing w:val="false"/>
      <w:jc w:val="center"/>
    </w:pPr>
    <w:rPr>
      <w:rFonts w:ascii="Calibri Light" w:cs="" w:hAnsi="Calibri Light"/>
      <w:color w:val="2E74B5"/>
      <w:sz w:val="26"/>
      <w:szCs w:val="26"/>
    </w:rPr>
  </w:style>
  <w:style w:styleId="style3" w:type="paragraph">
    <w:name w:val="Nadpis 3"/>
    <w:basedOn w:val="style0"/>
    <w:next w:val="style3"/>
    <w:pPr>
      <w:keepNext/>
      <w:keepLines/>
      <w:spacing w:after="0" w:before="40"/>
      <w:contextualSpacing w:val="false"/>
    </w:pPr>
    <w:rPr>
      <w:rFonts w:ascii="Calibri Light" w:cs="" w:hAnsi="Calibri Light"/>
      <w:color w:val="1F4D78"/>
    </w:rPr>
  </w:style>
  <w:style w:styleId="style4" w:type="paragraph">
    <w:name w:val="Nadpis 4"/>
    <w:basedOn w:val="style0"/>
    <w:next w:val="style4"/>
    <w:pPr>
      <w:keepNext/>
      <w:keepLines/>
      <w:spacing w:after="0" w:before="40"/>
      <w:contextualSpacing w:val="false"/>
    </w:pPr>
    <w:rPr>
      <w:rFonts w:ascii="Calibri Light" w:cs="" w:hAnsi="Calibri Light"/>
      <w:i/>
      <w:iCs/>
      <w:color w:val="2E74B5"/>
    </w:rPr>
  </w:style>
  <w:style w:styleId="style15" w:type="character">
    <w:name w:val="Default Paragraph Font"/>
    <w:next w:val="style15"/>
    <w:rPr/>
  </w:style>
  <w:style w:styleId="style16" w:type="character">
    <w:name w:val="Internetový odkaz"/>
    <w:basedOn w:val="style15"/>
    <w:next w:val="style16"/>
    <w:rPr>
      <w:color w:val="0000FF"/>
      <w:u w:val="single"/>
      <w:lang w:bidi="zxx-" w:eastAsia="zxx-" w:val="zxx-"/>
    </w:rPr>
  </w:style>
  <w:style w:styleId="style17" w:type="character">
    <w:name w:val="Silné zdůraznění"/>
    <w:basedOn w:val="style15"/>
    <w:next w:val="style17"/>
    <w:rPr>
      <w:b/>
      <w:bCs/>
    </w:rPr>
  </w:style>
  <w:style w:styleId="style18" w:type="character">
    <w:name w:val="Záhlaví Char"/>
    <w:basedOn w:val="style15"/>
    <w:next w:val="style18"/>
    <w:rPr>
      <w:rFonts w:ascii="Times New Roman" w:cs="Times New Roman" w:hAnsi="Times New Roman"/>
      <w:sz w:val="24"/>
      <w:szCs w:val="24"/>
      <w:lang w:eastAsia="cs-CZ"/>
    </w:rPr>
  </w:style>
  <w:style w:styleId="style19" w:type="character">
    <w:name w:val="Zápatí Char"/>
    <w:basedOn w:val="style15"/>
    <w:next w:val="style19"/>
    <w:rPr>
      <w:rFonts w:ascii="Times New Roman" w:cs="Times New Roman" w:hAnsi="Times New Roman"/>
      <w:sz w:val="24"/>
      <w:szCs w:val="24"/>
      <w:lang w:eastAsia="cs-CZ"/>
    </w:rPr>
  </w:style>
  <w:style w:styleId="style20" w:type="character">
    <w:name w:val="Nadpis 1 Char"/>
    <w:basedOn w:val="style15"/>
    <w:next w:val="style20"/>
    <w:rPr>
      <w:rFonts w:ascii="Calibri Light" w:cs="" w:hAnsi="Calibri Light"/>
      <w:color w:val="2E74B5"/>
      <w:sz w:val="32"/>
      <w:szCs w:val="32"/>
      <w:lang w:eastAsia="cs-CZ"/>
    </w:rPr>
  </w:style>
  <w:style w:styleId="style21" w:type="character">
    <w:name w:val="Nadpis 2 Char"/>
    <w:basedOn w:val="style15"/>
    <w:next w:val="style21"/>
    <w:rPr>
      <w:rFonts w:ascii="Calibri Light" w:cs="" w:hAnsi="Calibri Light"/>
      <w:color w:val="2E74B5"/>
      <w:sz w:val="26"/>
      <w:szCs w:val="26"/>
      <w:lang w:eastAsia="cs-CZ"/>
    </w:rPr>
  </w:style>
  <w:style w:styleId="style22" w:type="character">
    <w:name w:val="Nadpis 3 Char"/>
    <w:basedOn w:val="style15"/>
    <w:next w:val="style22"/>
    <w:rPr>
      <w:rFonts w:ascii="Calibri Light" w:cs="" w:hAnsi="Calibri Light"/>
      <w:color w:val="1F4D78"/>
      <w:sz w:val="24"/>
      <w:szCs w:val="24"/>
      <w:lang w:eastAsia="cs-CZ"/>
    </w:rPr>
  </w:style>
  <w:style w:styleId="style23" w:type="character">
    <w:name w:val="Nadpis 4 Char"/>
    <w:basedOn w:val="style15"/>
    <w:next w:val="style23"/>
    <w:rPr>
      <w:rFonts w:ascii="Calibri Light" w:cs="" w:hAnsi="Calibri Light"/>
      <w:i/>
      <w:iCs/>
      <w:color w:val="2E74B5"/>
      <w:sz w:val="24"/>
      <w:szCs w:val="24"/>
      <w:lang w:eastAsia="cs-CZ"/>
    </w:rPr>
  </w:style>
  <w:style w:styleId="style24" w:type="character">
    <w:name w:val="Text bubliny Char"/>
    <w:basedOn w:val="style15"/>
    <w:next w:val="style24"/>
    <w:rPr>
      <w:rFonts w:ascii="Tahoma" w:cs="Tahoma" w:hAnsi="Tahoma"/>
      <w:sz w:val="16"/>
      <w:szCs w:val="16"/>
      <w:lang w:eastAsia="cs-CZ"/>
    </w:rPr>
  </w:style>
  <w:style w:styleId="style25" w:type="character">
    <w:name w:val="ListLabel 1"/>
    <w:next w:val="style25"/>
    <w:rPr>
      <w:rFonts w:cs="Calibri"/>
    </w:rPr>
  </w:style>
  <w:style w:styleId="style26" w:type="character">
    <w:name w:val="ListLabel 2"/>
    <w:next w:val="style26"/>
    <w:rPr>
      <w:rFonts w:cs="Courier New"/>
    </w:rPr>
  </w:style>
  <w:style w:styleId="style27" w:type="character">
    <w:name w:val="ListLabel 3"/>
    <w:next w:val="style27"/>
    <w:rPr>
      <w:rFonts w:cs="Arial"/>
      <w:b/>
    </w:rPr>
  </w:style>
  <w:style w:styleId="style28" w:type="character">
    <w:name w:val="ListLabel 4"/>
    <w:next w:val="style28"/>
    <w:rPr>
      <w:b/>
      <w:u w:val="single"/>
    </w:rPr>
  </w:style>
  <w:style w:styleId="style29" w:type="paragraph">
    <w:name w:val="Nadpis"/>
    <w:basedOn w:val="style0"/>
    <w:next w:val="style30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30" w:type="paragraph">
    <w:name w:val="Tělo textu"/>
    <w:basedOn w:val="style0"/>
    <w:next w:val="style30"/>
    <w:pPr>
      <w:spacing w:after="120" w:before="0"/>
      <w:contextualSpacing w:val="false"/>
    </w:pPr>
    <w:rPr/>
  </w:style>
  <w:style w:styleId="style31" w:type="paragraph">
    <w:name w:val="Seznam"/>
    <w:basedOn w:val="style30"/>
    <w:next w:val="style31"/>
    <w:pPr/>
    <w:rPr>
      <w:rFonts w:cs="Mangal"/>
    </w:rPr>
  </w:style>
  <w:style w:styleId="style32" w:type="paragraph">
    <w:name w:val="Popisek"/>
    <w:basedOn w:val="style0"/>
    <w:next w:val="style3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33" w:type="paragraph">
    <w:name w:val="Rejstřík"/>
    <w:basedOn w:val="style0"/>
    <w:next w:val="style33"/>
    <w:pPr>
      <w:suppressLineNumbers/>
    </w:pPr>
    <w:rPr>
      <w:rFonts w:cs="Mangal"/>
    </w:rPr>
  </w:style>
  <w:style w:styleId="style34" w:type="paragraph">
    <w:name w:val="Normal (Web)"/>
    <w:basedOn w:val="style0"/>
    <w:next w:val="style34"/>
    <w:pPr>
      <w:spacing w:after="280" w:before="280"/>
      <w:contextualSpacing w:val="false"/>
    </w:pPr>
    <w:rPr/>
  </w:style>
  <w:style w:styleId="style35" w:type="paragraph">
    <w:name w:val="Záhlaví"/>
    <w:basedOn w:val="style0"/>
    <w:next w:val="style35"/>
    <w:pPr>
      <w:tabs>
        <w:tab w:leader="none" w:pos="4536" w:val="center"/>
        <w:tab w:leader="none" w:pos="9072" w:val="right"/>
      </w:tabs>
    </w:pPr>
    <w:rPr/>
  </w:style>
  <w:style w:styleId="style36" w:type="paragraph">
    <w:name w:val="Zápatí"/>
    <w:basedOn w:val="style0"/>
    <w:next w:val="style36"/>
    <w:pPr>
      <w:tabs>
        <w:tab w:leader="none" w:pos="4536" w:val="center"/>
        <w:tab w:leader="none" w:pos="9072" w:val="right"/>
      </w:tabs>
    </w:pPr>
    <w:rPr/>
  </w:style>
  <w:style w:styleId="style37" w:type="paragraph">
    <w:name w:val="List Paragraph"/>
    <w:basedOn w:val="style0"/>
    <w:next w:val="style37"/>
    <w:pPr>
      <w:spacing w:after="0" w:before="120"/>
      <w:ind w:firstLine="425" w:left="720" w:right="0"/>
      <w:contextualSpacing/>
    </w:pPr>
    <w:rPr/>
  </w:style>
  <w:style w:styleId="style38" w:type="paragraph">
    <w:name w:val="List Bullet"/>
    <w:basedOn w:val="style0"/>
    <w:next w:val="style38"/>
    <w:pPr>
      <w:numPr>
        <w:ilvl w:val="0"/>
        <w:numId w:val="2"/>
      </w:numPr>
      <w:spacing w:after="0" w:before="120" w:line="260" w:lineRule="atLeast"/>
      <w:contextualSpacing/>
    </w:pPr>
    <w:rPr>
      <w:rFonts w:eastAsia="Times New Roman"/>
      <w:sz w:val="22"/>
    </w:rPr>
  </w:style>
  <w:style w:styleId="style39" w:type="paragraph">
    <w:name w:val="No Spacing"/>
    <w:next w:val="style39"/>
    <w:pPr>
      <w:widowControl/>
      <w:suppressAutoHyphens w:val="true"/>
      <w:spacing w:after="0" w:before="0" w:line="100" w:lineRule="atLeast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cs-CZ"/>
    </w:rPr>
  </w:style>
  <w:style w:styleId="style40" w:type="paragraph">
    <w:name w:val="Balloon Text"/>
    <w:basedOn w:val="style0"/>
    <w:next w:val="style40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2016-08-23T11:11:00Z</dcterms:created>
  <dc:creator>KUFNER Jan</dc:creator>
  <cp:lastModifiedBy>KUFNER Jan</cp:lastModifiedBy>
  <cp:lastPrinted>2016-09-15T12:22:00Z</cp:lastPrinted>
  <dcterms:modified xsi:type="dcterms:W3CDTF">2016-08-30T10:39:00Z</dcterms:modified>
  <cp:revision>4</cp:revision>
</cp:coreProperties>
</file>