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D97" w:rsidRDefault="003169E2" w:rsidP="004356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Praha </w:t>
      </w:r>
      <w:r w:rsidR="009E25BD">
        <w:t>1</w:t>
      </w:r>
      <w:r w:rsidR="00AD5E45">
        <w:t>6</w:t>
      </w:r>
      <w:r>
        <w:t>. ledna 20</w:t>
      </w:r>
      <w:r w:rsidR="009E25BD">
        <w:t>13</w:t>
      </w:r>
    </w:p>
    <w:p w:rsidR="003169E2" w:rsidRDefault="003169E2" w:rsidP="00435680"/>
    <w:p w:rsidR="003169E2" w:rsidRDefault="003169E2" w:rsidP="004356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Počet listů:</w:t>
      </w:r>
      <w:r w:rsidR="00BC370E">
        <w:t xml:space="preserve"> </w:t>
      </w:r>
      <w:r w:rsidR="00AD5E45">
        <w:t>2</w:t>
      </w:r>
      <w:r w:rsidR="007B66EF">
        <w:t>2</w:t>
      </w:r>
    </w:p>
    <w:p w:rsidR="003169E2" w:rsidRDefault="003169E2" w:rsidP="004356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169E2" w:rsidRDefault="003169E2" w:rsidP="00435680"/>
    <w:p w:rsidR="003169E2" w:rsidRDefault="009E25BD" w:rsidP="00435680">
      <w:pPr>
        <w:rPr>
          <w:b/>
          <w:u w:val="single"/>
        </w:rPr>
      </w:pPr>
      <w:r>
        <w:rPr>
          <w:b/>
          <w:u w:val="single"/>
        </w:rPr>
        <w:t>Informace o n</w:t>
      </w:r>
      <w:r w:rsidR="003169E2" w:rsidRPr="003169E2">
        <w:rPr>
          <w:b/>
          <w:u w:val="single"/>
        </w:rPr>
        <w:t>ehodovost</w:t>
      </w:r>
      <w:r>
        <w:rPr>
          <w:b/>
          <w:u w:val="single"/>
        </w:rPr>
        <w:t>i</w:t>
      </w:r>
      <w:r w:rsidR="003169E2" w:rsidRPr="003169E2">
        <w:rPr>
          <w:b/>
          <w:u w:val="single"/>
        </w:rPr>
        <w:t xml:space="preserve"> na území hlavního města Prahy v roce 201</w:t>
      </w:r>
      <w:r>
        <w:rPr>
          <w:b/>
          <w:u w:val="single"/>
        </w:rPr>
        <w:t>2</w:t>
      </w:r>
    </w:p>
    <w:p w:rsidR="003169E2" w:rsidRDefault="003169E2" w:rsidP="00435680">
      <w:pPr>
        <w:rPr>
          <w:b/>
          <w:u w:val="single"/>
        </w:rPr>
      </w:pPr>
    </w:p>
    <w:p w:rsidR="003169E2" w:rsidRDefault="003169E2" w:rsidP="00435680">
      <w:pPr>
        <w:rPr>
          <w:b/>
          <w:u w:val="single"/>
        </w:rPr>
      </w:pPr>
    </w:p>
    <w:p w:rsidR="003169E2" w:rsidRPr="003169E2" w:rsidRDefault="003169E2" w:rsidP="003169E2">
      <w:pPr>
        <w:jc w:val="both"/>
      </w:pPr>
      <w:r w:rsidRPr="003169E2">
        <w:tab/>
        <w:t xml:space="preserve">V roce </w:t>
      </w:r>
      <w:r>
        <w:t>201</w:t>
      </w:r>
      <w:r w:rsidR="009E25BD">
        <w:t>2</w:t>
      </w:r>
      <w:r w:rsidRPr="003169E2">
        <w:t xml:space="preserve"> </w:t>
      </w:r>
      <w:r w:rsidR="00AD0083">
        <w:t>šetřili policisté</w:t>
      </w:r>
      <w:r w:rsidRPr="003169E2">
        <w:t xml:space="preserve"> na území hlavního města Prahy celkem </w:t>
      </w:r>
      <w:r w:rsidR="00973CE7">
        <w:rPr>
          <w:b/>
        </w:rPr>
        <w:t>1</w:t>
      </w:r>
      <w:r w:rsidR="009E25BD">
        <w:rPr>
          <w:b/>
        </w:rPr>
        <w:t>7 795</w:t>
      </w:r>
      <w:r w:rsidR="00973CE7">
        <w:rPr>
          <w:b/>
        </w:rPr>
        <w:t xml:space="preserve"> </w:t>
      </w:r>
      <w:r w:rsidRPr="003169E2">
        <w:rPr>
          <w:b/>
        </w:rPr>
        <w:t>dopravní</w:t>
      </w:r>
      <w:r w:rsidR="00AD0083">
        <w:rPr>
          <w:b/>
        </w:rPr>
        <w:t xml:space="preserve">ch </w:t>
      </w:r>
      <w:r w:rsidRPr="003169E2">
        <w:rPr>
          <w:b/>
        </w:rPr>
        <w:t>nehod</w:t>
      </w:r>
      <w:r w:rsidRPr="003169E2">
        <w:t xml:space="preserve">. Při těchto nehodách bylo </w:t>
      </w:r>
      <w:r w:rsidR="009E25BD">
        <w:rPr>
          <w:b/>
        </w:rPr>
        <w:t>26</w:t>
      </w:r>
      <w:r w:rsidRPr="003169E2">
        <w:rPr>
          <w:b/>
        </w:rPr>
        <w:t xml:space="preserve"> osob usmrceno</w:t>
      </w:r>
      <w:r w:rsidRPr="003169E2">
        <w:rPr>
          <w:vertAlign w:val="superscript"/>
        </w:rPr>
        <w:footnoteReference w:id="1"/>
      </w:r>
      <w:r w:rsidRPr="003169E2">
        <w:t xml:space="preserve">, </w:t>
      </w:r>
      <w:r w:rsidRPr="003169E2">
        <w:rPr>
          <w:b/>
        </w:rPr>
        <w:t>2</w:t>
      </w:r>
      <w:r w:rsidR="009E25BD">
        <w:rPr>
          <w:b/>
        </w:rPr>
        <w:t>36</w:t>
      </w:r>
      <w:r w:rsidRPr="003169E2">
        <w:rPr>
          <w:b/>
        </w:rPr>
        <w:t xml:space="preserve"> osob bylo těžce</w:t>
      </w:r>
      <w:r>
        <w:rPr>
          <w:b/>
        </w:rPr>
        <w:t xml:space="preserve"> </w:t>
      </w:r>
      <w:r w:rsidRPr="003169E2">
        <w:rPr>
          <w:b/>
        </w:rPr>
        <w:t>zraněno</w:t>
      </w:r>
      <w:r w:rsidRPr="003169E2">
        <w:t xml:space="preserve"> a </w:t>
      </w:r>
      <w:r w:rsidR="009E25BD">
        <w:rPr>
          <w:b/>
        </w:rPr>
        <w:t>2 009</w:t>
      </w:r>
      <w:r>
        <w:rPr>
          <w:b/>
        </w:rPr>
        <w:t xml:space="preserve"> </w:t>
      </w:r>
      <w:r w:rsidRPr="003169E2">
        <w:rPr>
          <w:b/>
        </w:rPr>
        <w:t>bylo zraněno lehce</w:t>
      </w:r>
      <w:r w:rsidRPr="003169E2">
        <w:t>. Policisté odhadli hmotnou škodu vzniklou při nehodách na 1,</w:t>
      </w:r>
      <w:r w:rsidR="001D7E52">
        <w:t>0</w:t>
      </w:r>
      <w:r w:rsidR="009E25BD">
        <w:t>9</w:t>
      </w:r>
      <w:r w:rsidRPr="003169E2">
        <w:t xml:space="preserve"> mld. Kč.</w:t>
      </w:r>
    </w:p>
    <w:p w:rsidR="00AD0083" w:rsidRDefault="00AD0083" w:rsidP="003169E2"/>
    <w:p w:rsidR="009E25BD" w:rsidRPr="003169E2" w:rsidRDefault="003169E2" w:rsidP="009E25BD">
      <w:r w:rsidRPr="003169E2">
        <w:tab/>
      </w:r>
      <w:r w:rsidR="009E25BD" w:rsidRPr="003169E2">
        <w:t>Porovnáním základních ukazatelů dopravních nehod zjišťujeme:</w:t>
      </w:r>
    </w:p>
    <w:p w:rsidR="009E25BD" w:rsidRPr="003169E2" w:rsidRDefault="009E25BD" w:rsidP="009E25BD"/>
    <w:p w:rsidR="009E25BD" w:rsidRPr="003169E2" w:rsidRDefault="009E25BD" w:rsidP="009E25BD">
      <w:r>
        <w:t>nárůst</w:t>
      </w:r>
      <w:r w:rsidRPr="003169E2">
        <w:t xml:space="preserve"> v kategorii:</w:t>
      </w:r>
    </w:p>
    <w:p w:rsidR="009E25BD" w:rsidRPr="003169E2" w:rsidRDefault="009E25BD" w:rsidP="009E25BD"/>
    <w:p w:rsidR="009E25BD" w:rsidRPr="003169E2" w:rsidRDefault="009E25BD" w:rsidP="009E25BD">
      <w:pPr>
        <w:numPr>
          <w:ilvl w:val="0"/>
          <w:numId w:val="5"/>
        </w:numPr>
      </w:pPr>
      <w:r w:rsidRPr="003169E2">
        <w:t xml:space="preserve">počet </w:t>
      </w:r>
      <w:r>
        <w:t>dopravních nehod</w:t>
      </w:r>
      <w:r>
        <w:tab/>
      </w:r>
      <w:r>
        <w:tab/>
      </w:r>
      <w:r w:rsidRPr="003169E2">
        <w:t xml:space="preserve">o </w:t>
      </w:r>
      <w:r>
        <w:t>1 223</w:t>
      </w:r>
      <w:r w:rsidRPr="003169E2">
        <w:t xml:space="preserve"> </w:t>
      </w:r>
      <w:r>
        <w:t>nehod</w:t>
      </w:r>
      <w:r w:rsidRPr="003169E2">
        <w:tab/>
      </w:r>
      <w:r>
        <w:tab/>
      </w:r>
      <w:proofErr w:type="gramStart"/>
      <w:r w:rsidRPr="003169E2">
        <w:t>tj. o</w:t>
      </w:r>
      <w:r>
        <w:t xml:space="preserve">  7,4</w:t>
      </w:r>
      <w:proofErr w:type="gramEnd"/>
      <w:r>
        <w:t xml:space="preserve"> </w:t>
      </w:r>
      <w:r w:rsidRPr="003169E2">
        <w:t>%</w:t>
      </w:r>
    </w:p>
    <w:p w:rsidR="009E25BD" w:rsidRDefault="009E25BD" w:rsidP="009E25BD">
      <w:pPr>
        <w:numPr>
          <w:ilvl w:val="0"/>
          <w:numId w:val="5"/>
        </w:numPr>
      </w:pPr>
      <w:r w:rsidRPr="003169E2">
        <w:t>počet lehce zraněných</w:t>
      </w:r>
      <w:r w:rsidRPr="003169E2">
        <w:tab/>
      </w:r>
      <w:r w:rsidRPr="003169E2">
        <w:tab/>
        <w:t xml:space="preserve">o </w:t>
      </w:r>
      <w:r>
        <w:t xml:space="preserve">     47</w:t>
      </w:r>
      <w:r w:rsidRPr="003169E2">
        <w:t xml:space="preserve"> osob</w:t>
      </w:r>
      <w:r w:rsidRPr="003169E2">
        <w:tab/>
      </w:r>
      <w:r>
        <w:tab/>
      </w:r>
      <w:proofErr w:type="gramStart"/>
      <w:r w:rsidRPr="003169E2">
        <w:t xml:space="preserve">tj. o </w:t>
      </w:r>
      <w:r>
        <w:t xml:space="preserve"> 2,4</w:t>
      </w:r>
      <w:proofErr w:type="gramEnd"/>
      <w:r>
        <w:t xml:space="preserve"> </w:t>
      </w:r>
      <w:r w:rsidRPr="003169E2">
        <w:t>%</w:t>
      </w:r>
    </w:p>
    <w:p w:rsidR="009E25BD" w:rsidRPr="003169E2" w:rsidRDefault="009E25BD" w:rsidP="009E25BD">
      <w:pPr>
        <w:numPr>
          <w:ilvl w:val="0"/>
          <w:numId w:val="5"/>
        </w:numPr>
      </w:pPr>
      <w:r>
        <w:t>odhad hmotné škody</w:t>
      </w:r>
      <w:r>
        <w:tab/>
      </w:r>
      <w:r>
        <w:tab/>
      </w:r>
      <w:r>
        <w:tab/>
        <w:t>o   43,1 mil. Kč</w:t>
      </w:r>
      <w:r>
        <w:tab/>
      </w:r>
      <w:proofErr w:type="gramStart"/>
      <w:r>
        <w:t>tj. o  4,1</w:t>
      </w:r>
      <w:proofErr w:type="gramEnd"/>
      <w:r>
        <w:t xml:space="preserve"> %</w:t>
      </w:r>
    </w:p>
    <w:p w:rsidR="009E25BD" w:rsidRPr="003169E2" w:rsidRDefault="009E25BD" w:rsidP="009E25BD"/>
    <w:p w:rsidR="009E25BD" w:rsidRPr="003169E2" w:rsidRDefault="009E25BD" w:rsidP="009E25BD">
      <w:r>
        <w:t>pokles</w:t>
      </w:r>
      <w:r w:rsidRPr="003169E2">
        <w:t xml:space="preserve"> v kategorii:</w:t>
      </w:r>
    </w:p>
    <w:p w:rsidR="009E25BD" w:rsidRPr="003169E2" w:rsidRDefault="009E25BD" w:rsidP="009E25BD"/>
    <w:p w:rsidR="009E25BD" w:rsidRPr="003169E2" w:rsidRDefault="009E25BD" w:rsidP="009E25BD">
      <w:pPr>
        <w:numPr>
          <w:ilvl w:val="0"/>
          <w:numId w:val="6"/>
        </w:numPr>
      </w:pPr>
      <w:r w:rsidRPr="003169E2">
        <w:t xml:space="preserve">počet </w:t>
      </w:r>
      <w:r>
        <w:t>usmrcených osob</w:t>
      </w:r>
      <w:r w:rsidRPr="003169E2">
        <w:tab/>
      </w:r>
      <w:r>
        <w:tab/>
      </w:r>
      <w:r w:rsidRPr="003169E2">
        <w:t xml:space="preserve">o </w:t>
      </w:r>
      <w:r>
        <w:t>13 osob</w:t>
      </w:r>
      <w:r w:rsidRPr="003169E2">
        <w:tab/>
      </w:r>
      <w:r>
        <w:tab/>
      </w:r>
      <w:r w:rsidRPr="003169E2">
        <w:t>tj. o</w:t>
      </w:r>
      <w:r>
        <w:t xml:space="preserve"> 33,3</w:t>
      </w:r>
      <w:r w:rsidRPr="003169E2">
        <w:t xml:space="preserve"> %</w:t>
      </w:r>
    </w:p>
    <w:p w:rsidR="009E25BD" w:rsidRPr="003169E2" w:rsidRDefault="009E25BD" w:rsidP="009E25BD">
      <w:pPr>
        <w:numPr>
          <w:ilvl w:val="0"/>
          <w:numId w:val="6"/>
        </w:numPr>
      </w:pPr>
      <w:r>
        <w:t>počet těžce zraněných osob</w:t>
      </w:r>
      <w:r w:rsidRPr="003169E2">
        <w:tab/>
      </w:r>
      <w:r w:rsidRPr="003169E2">
        <w:tab/>
        <w:t xml:space="preserve">o </w:t>
      </w:r>
      <w:r>
        <w:t>43 osob</w:t>
      </w:r>
      <w:r w:rsidRPr="003169E2">
        <w:tab/>
      </w:r>
      <w:r>
        <w:tab/>
      </w:r>
      <w:r w:rsidRPr="003169E2">
        <w:t xml:space="preserve">tj. o </w:t>
      </w:r>
      <w:r>
        <w:t>15,4</w:t>
      </w:r>
      <w:r w:rsidRPr="003169E2">
        <w:t xml:space="preserve"> %</w:t>
      </w:r>
    </w:p>
    <w:p w:rsidR="009E25BD" w:rsidRDefault="009E25BD" w:rsidP="009E25BD"/>
    <w:p w:rsidR="009E25BD" w:rsidRPr="003169E2" w:rsidRDefault="009E25BD" w:rsidP="009E25BD"/>
    <w:p w:rsidR="009E25BD" w:rsidRPr="002D6BB5" w:rsidRDefault="009E25BD" w:rsidP="009E25BD">
      <w:pPr>
        <w:ind w:firstLine="708"/>
        <w:jc w:val="both"/>
      </w:pPr>
      <w:r w:rsidRPr="002D6BB5">
        <w:t xml:space="preserve">Počet dopravních nehod je na území hl. m. Prahy </w:t>
      </w:r>
      <w:r w:rsidRPr="009E25BD">
        <w:rPr>
          <w:b/>
        </w:rPr>
        <w:t>třetí nejnižší</w:t>
      </w:r>
      <w:r w:rsidRPr="002D6BB5">
        <w:t xml:space="preserve"> za posledních 14 let, nejvíce nehod bylo v roce 1999 (44 192 nehod), nejméně v roce 2009 (15 583 nehod), počet usmrcených osob </w:t>
      </w:r>
      <w:r>
        <w:t xml:space="preserve">je </w:t>
      </w:r>
      <w:r w:rsidRPr="009E25BD">
        <w:rPr>
          <w:b/>
        </w:rPr>
        <w:t>nejnižší v historii</w:t>
      </w:r>
      <w:r>
        <w:t xml:space="preserve"> a podruhé pod hranicí 30 osob za rok (poprvé v roce 2010 – 29 osob).  </w:t>
      </w:r>
    </w:p>
    <w:p w:rsidR="003169E2" w:rsidRDefault="003169E2" w:rsidP="009E25BD"/>
    <w:p w:rsidR="003169E2" w:rsidRPr="003169E2" w:rsidRDefault="003169E2" w:rsidP="00062900">
      <w:pPr>
        <w:ind w:firstLine="708"/>
        <w:jc w:val="both"/>
      </w:pPr>
      <w:r w:rsidRPr="003169E2">
        <w:t xml:space="preserve">Z porovnání četnosti základních ukazatelů vyplývá, že policisté v Praze v průměru každých </w:t>
      </w:r>
      <w:r w:rsidR="005704DF" w:rsidRPr="005704DF">
        <w:rPr>
          <w:b/>
        </w:rPr>
        <w:t>30</w:t>
      </w:r>
      <w:r w:rsidRPr="003169E2">
        <w:rPr>
          <w:b/>
        </w:rPr>
        <w:t xml:space="preserve"> minut šetřili nehodu</w:t>
      </w:r>
      <w:r w:rsidRPr="003169E2">
        <w:t xml:space="preserve">, každých </w:t>
      </w:r>
      <w:r w:rsidRPr="003169E2">
        <w:rPr>
          <w:b/>
        </w:rPr>
        <w:t>4,</w:t>
      </w:r>
      <w:r w:rsidR="005704DF">
        <w:rPr>
          <w:b/>
        </w:rPr>
        <w:t>4</w:t>
      </w:r>
      <w:r w:rsidRPr="003169E2">
        <w:rPr>
          <w:b/>
        </w:rPr>
        <w:t xml:space="preserve"> hodin</w:t>
      </w:r>
      <w:r w:rsidR="00973CE7">
        <w:rPr>
          <w:b/>
        </w:rPr>
        <w:t>y</w:t>
      </w:r>
      <w:r w:rsidRPr="003169E2">
        <w:rPr>
          <w:b/>
        </w:rPr>
        <w:t xml:space="preserve"> byl při nehodě lehce zraněn člověk</w:t>
      </w:r>
      <w:r w:rsidRPr="003169E2">
        <w:t xml:space="preserve"> a každých</w:t>
      </w:r>
      <w:r w:rsidR="00973CE7">
        <w:t xml:space="preserve"> </w:t>
      </w:r>
      <w:r w:rsidR="005704DF" w:rsidRPr="005704DF">
        <w:rPr>
          <w:b/>
        </w:rPr>
        <w:t>37</w:t>
      </w:r>
      <w:r w:rsidRPr="003169E2">
        <w:rPr>
          <w:b/>
        </w:rPr>
        <w:t xml:space="preserve"> hodin byl zraněn těžce</w:t>
      </w:r>
      <w:r w:rsidRPr="003169E2">
        <w:t>. V průměru každých</w:t>
      </w:r>
      <w:r w:rsidR="00973CE7">
        <w:t xml:space="preserve"> </w:t>
      </w:r>
      <w:r w:rsidR="00973CE7" w:rsidRPr="00973CE7">
        <w:rPr>
          <w:b/>
        </w:rPr>
        <w:t>1</w:t>
      </w:r>
      <w:r w:rsidR="005704DF">
        <w:rPr>
          <w:b/>
        </w:rPr>
        <w:t>4</w:t>
      </w:r>
      <w:r w:rsidRPr="003169E2">
        <w:rPr>
          <w:b/>
        </w:rPr>
        <w:t xml:space="preserve"> dní</w:t>
      </w:r>
      <w:r w:rsidRPr="00973CE7">
        <w:t xml:space="preserve"> </w:t>
      </w:r>
      <w:r w:rsidR="00973CE7" w:rsidRPr="00973CE7">
        <w:t xml:space="preserve">(přesně </w:t>
      </w:r>
      <w:r w:rsidR="005704DF">
        <w:t>14,1</w:t>
      </w:r>
      <w:r w:rsidR="00973CE7" w:rsidRPr="00973CE7">
        <w:t xml:space="preserve">) </w:t>
      </w:r>
      <w:r w:rsidR="005704DF">
        <w:rPr>
          <w:b/>
        </w:rPr>
        <w:t xml:space="preserve">došlo </w:t>
      </w:r>
      <w:r w:rsidRPr="003169E2">
        <w:rPr>
          <w:b/>
        </w:rPr>
        <w:t xml:space="preserve">při nehodě </w:t>
      </w:r>
      <w:r w:rsidR="005704DF">
        <w:rPr>
          <w:b/>
        </w:rPr>
        <w:t>k </w:t>
      </w:r>
      <w:r w:rsidRPr="003169E2">
        <w:rPr>
          <w:b/>
        </w:rPr>
        <w:t>usmrcen</w:t>
      </w:r>
      <w:r w:rsidR="005704DF">
        <w:rPr>
          <w:b/>
        </w:rPr>
        <w:t>í.</w:t>
      </w:r>
      <w:r w:rsidRPr="003169E2">
        <w:t xml:space="preserve"> </w:t>
      </w:r>
    </w:p>
    <w:p w:rsidR="00FC71B4" w:rsidRDefault="00FC71B4" w:rsidP="00062900">
      <w:pPr>
        <w:jc w:val="both"/>
      </w:pPr>
    </w:p>
    <w:p w:rsidR="00FC71B4" w:rsidRDefault="00FC71B4" w:rsidP="00062900">
      <w:pPr>
        <w:jc w:val="both"/>
      </w:pPr>
    </w:p>
    <w:p w:rsidR="00FC71B4" w:rsidRDefault="00FC71B4" w:rsidP="00062900">
      <w:pPr>
        <w:jc w:val="both"/>
      </w:pPr>
    </w:p>
    <w:p w:rsidR="00FC71B4" w:rsidRDefault="00FC71B4" w:rsidP="00062900">
      <w:pPr>
        <w:jc w:val="both"/>
      </w:pPr>
    </w:p>
    <w:p w:rsidR="00FC71B4" w:rsidRDefault="00FC71B4" w:rsidP="00062900">
      <w:pPr>
        <w:jc w:val="both"/>
      </w:pPr>
    </w:p>
    <w:p w:rsidR="00FC71B4" w:rsidRDefault="00FC71B4" w:rsidP="00062900">
      <w:pPr>
        <w:jc w:val="both"/>
      </w:pPr>
    </w:p>
    <w:p w:rsidR="00FC71B4" w:rsidRDefault="00FC71B4" w:rsidP="00062900">
      <w:pPr>
        <w:jc w:val="both"/>
      </w:pPr>
    </w:p>
    <w:p w:rsidR="003169E2" w:rsidRPr="000E7DAC" w:rsidRDefault="003169E2" w:rsidP="00062900">
      <w:pPr>
        <w:jc w:val="both"/>
        <w:rPr>
          <w:b/>
        </w:rPr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9"/>
        <w:gridCol w:w="1281"/>
        <w:gridCol w:w="1216"/>
        <w:gridCol w:w="1216"/>
        <w:gridCol w:w="1281"/>
        <w:gridCol w:w="1476"/>
      </w:tblGrid>
      <w:tr w:rsidR="005704DF" w:rsidRPr="005704DF" w:rsidTr="005704DF">
        <w:trPr>
          <w:trHeight w:val="735"/>
        </w:trPr>
        <w:tc>
          <w:tcPr>
            <w:tcW w:w="292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lastRenderedPageBreak/>
              <w:t xml:space="preserve">Dopravní nehody a jejich následky; </w:t>
            </w:r>
            <w:r w:rsidR="00AD5E45">
              <w:rPr>
                <w:rFonts w:cs="Arial"/>
                <w:sz w:val="16"/>
                <w:szCs w:val="16"/>
              </w:rPr>
              <w:t>Praha 1</w:t>
            </w:r>
            <w:r w:rsidRPr="00AD5E45">
              <w:rPr>
                <w:rFonts w:cs="Arial"/>
                <w:sz w:val="16"/>
                <w:szCs w:val="16"/>
              </w:rPr>
              <w:t>998-2012</w:t>
            </w:r>
          </w:p>
        </w:tc>
        <w:tc>
          <w:tcPr>
            <w:tcW w:w="11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počet nehod</w:t>
            </w:r>
          </w:p>
        </w:tc>
        <w:tc>
          <w:tcPr>
            <w:tcW w:w="11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Usmrceno osob</w:t>
            </w:r>
          </w:p>
        </w:tc>
        <w:tc>
          <w:tcPr>
            <w:tcW w:w="11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Těžce zraněno osob</w:t>
            </w:r>
          </w:p>
        </w:tc>
        <w:tc>
          <w:tcPr>
            <w:tcW w:w="11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Lehce zraněno osob</w:t>
            </w:r>
          </w:p>
        </w:tc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škoda *100 Kč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1998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42 131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3 568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17 609 318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1999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44 192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3 558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16 483 763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40 560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3 260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15 811 992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34 195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3 521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16 487 008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35 888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3 679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18 834 456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35 589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3 509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18 753 815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29 598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3 313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17 991 176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33 349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2 603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18 908 349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34 689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2 047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18 147 896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33 484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1 923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15 530 688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30 251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1 941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14 379 921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15 583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2 082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10 574 925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18 190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1 893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11 569 654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16 572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1 962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10 427 553</w:t>
            </w:r>
          </w:p>
        </w:tc>
      </w:tr>
      <w:tr w:rsidR="005704DF" w:rsidRPr="005704DF" w:rsidTr="005704DF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17 795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2 006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10 858 862</w:t>
            </w:r>
          </w:p>
        </w:tc>
      </w:tr>
    </w:tbl>
    <w:p w:rsidR="001A5D97" w:rsidRDefault="001A5D97" w:rsidP="00435680"/>
    <w:p w:rsidR="00FC71B4" w:rsidRPr="003169E2" w:rsidRDefault="00FC71B4" w:rsidP="00435680"/>
    <w:p w:rsidR="001A5D97" w:rsidRDefault="00802E6B" w:rsidP="00435680">
      <w:bookmarkStart w:id="0" w:name="_GoBack"/>
      <w:r>
        <w:rPr>
          <w:noProof/>
        </w:rPr>
        <w:drawing>
          <wp:inline distT="0" distB="0" distL="0" distR="0" wp14:anchorId="5760C1A0" wp14:editId="77F15E8C">
            <wp:extent cx="6027088" cy="3665551"/>
            <wp:effectExtent l="38100" t="38100" r="88265" b="8763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1A5D97" w:rsidRDefault="001A5D97" w:rsidP="00435680"/>
    <w:p w:rsidR="00FC71B4" w:rsidRDefault="00FC71B4" w:rsidP="00435680"/>
    <w:p w:rsidR="001D7E52" w:rsidRDefault="001D7E52" w:rsidP="001D7E52">
      <w:pPr>
        <w:jc w:val="both"/>
      </w:pPr>
      <w:r>
        <w:tab/>
        <w:t>K nejvyššímu počtu dopravních nehod došlo</w:t>
      </w:r>
      <w:r w:rsidR="005704DF">
        <w:t>, stejně jako v loňském roce</w:t>
      </w:r>
      <w:r>
        <w:t xml:space="preserve"> v měsíci říjnu (</w:t>
      </w:r>
      <w:r w:rsidR="005704DF">
        <w:t>1730</w:t>
      </w:r>
      <w:r>
        <w:t xml:space="preserve"> nehod, tj. 9,</w:t>
      </w:r>
      <w:r w:rsidR="005704DF">
        <w:t>7</w:t>
      </w:r>
      <w:r>
        <w:t xml:space="preserve"> % z celkového počtu nehod), nejméně nehod zpracovávali policisté v měsíci únoru (</w:t>
      </w:r>
      <w:r w:rsidR="005704DF">
        <w:t>1314</w:t>
      </w:r>
      <w:r>
        <w:t xml:space="preserve"> nehod, tj. </w:t>
      </w:r>
      <w:r w:rsidR="005704DF">
        <w:t xml:space="preserve">7,4 </w:t>
      </w:r>
      <w:r>
        <w:t xml:space="preserve">% nehod). </w:t>
      </w:r>
      <w:r w:rsidR="005704DF">
        <w:t xml:space="preserve">Nejvíce osob bylo usmrceno při nehodách v měsících březnu, srpnu a září </w:t>
      </w:r>
      <w:r w:rsidR="00676F77">
        <w:t>(</w:t>
      </w:r>
      <w:r w:rsidR="005704DF">
        <w:t>4 osoby, 15,4</w:t>
      </w:r>
      <w:r w:rsidR="00676F77">
        <w:t xml:space="preserve"> % z celkového počtu usmrcených), žádná osoba nezemřela při nehodách v měsících </w:t>
      </w:r>
      <w:r w:rsidR="005704DF">
        <w:t>červenci</w:t>
      </w:r>
      <w:r w:rsidR="00676F77">
        <w:t xml:space="preserve">. </w:t>
      </w:r>
    </w:p>
    <w:p w:rsidR="001D7E52" w:rsidRDefault="001D7E52" w:rsidP="00435680"/>
    <w:p w:rsidR="00802E6B" w:rsidRDefault="00802E6B" w:rsidP="00435680"/>
    <w:p w:rsidR="001A5D97" w:rsidRDefault="001A5D97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8"/>
        <w:gridCol w:w="1812"/>
        <w:gridCol w:w="1134"/>
        <w:gridCol w:w="1843"/>
        <w:gridCol w:w="1402"/>
      </w:tblGrid>
      <w:tr w:rsidR="005704DF" w:rsidRPr="005704DF" w:rsidTr="005704DF">
        <w:trPr>
          <w:trHeight w:val="600"/>
        </w:trPr>
        <w:tc>
          <w:tcPr>
            <w:tcW w:w="3448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AD5E45" w:rsidRDefault="005704DF" w:rsidP="005704DF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lastRenderedPageBreak/>
              <w:t xml:space="preserve">Počet nehod a usmrcených osob; </w:t>
            </w:r>
          </w:p>
          <w:p w:rsidR="005704DF" w:rsidRPr="00AD5E45" w:rsidRDefault="00AD5E45" w:rsidP="005704DF">
            <w:pPr>
              <w:spacing w:line="240" w:lineRule="auto"/>
              <w:rPr>
                <w:rFonts w:cs="Arial"/>
                <w:bCs/>
                <w:color w:val="FFFFFF"/>
                <w:sz w:val="16"/>
                <w:szCs w:val="16"/>
              </w:rPr>
            </w:pPr>
            <w:r w:rsidRPr="00AD5E45">
              <w:rPr>
                <w:rFonts w:cs="Arial"/>
                <w:bCs/>
                <w:sz w:val="16"/>
                <w:szCs w:val="16"/>
              </w:rPr>
              <w:t xml:space="preserve">Praha </w:t>
            </w:r>
            <w:r>
              <w:rPr>
                <w:rFonts w:cs="Arial"/>
                <w:bCs/>
                <w:sz w:val="16"/>
                <w:szCs w:val="16"/>
              </w:rPr>
              <w:t xml:space="preserve"> </w:t>
            </w:r>
            <w:r w:rsidR="005704DF" w:rsidRPr="00AD5E45">
              <w:rPr>
                <w:rFonts w:cs="Arial"/>
                <w:sz w:val="16"/>
                <w:szCs w:val="16"/>
              </w:rPr>
              <w:t>2012</w:t>
            </w:r>
          </w:p>
        </w:tc>
        <w:tc>
          <w:tcPr>
            <w:tcW w:w="1812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tj.</w:t>
            </w:r>
          </w:p>
        </w:tc>
        <w:tc>
          <w:tcPr>
            <w:tcW w:w="1843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usmrcených osob</w:t>
            </w:r>
          </w:p>
        </w:tc>
        <w:tc>
          <w:tcPr>
            <w:tcW w:w="1402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tj.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leden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1394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7,8%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7,7%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únor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7,4%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3,8%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březen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8,2%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15,4%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duben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8,5%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7,7%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květen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8,5%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11,5%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červen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8,7%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7,7%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červenec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6,9%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0,0%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srpen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7,7%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15,4%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září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8,6%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15,4%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říjen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9,7%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3,8%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listopad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9,0%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3,8%</w:t>
            </w:r>
          </w:p>
        </w:tc>
      </w:tr>
      <w:tr w:rsidR="005704DF" w:rsidRPr="005704DF" w:rsidTr="005704DF">
        <w:trPr>
          <w:trHeight w:val="300"/>
        </w:trPr>
        <w:tc>
          <w:tcPr>
            <w:tcW w:w="3448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prosinec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8,8%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7,7%</w:t>
            </w:r>
          </w:p>
        </w:tc>
      </w:tr>
    </w:tbl>
    <w:p w:rsidR="001A5D97" w:rsidRDefault="001A5D97" w:rsidP="00435680"/>
    <w:p w:rsidR="005704DF" w:rsidRDefault="005704DF" w:rsidP="00435680"/>
    <w:p w:rsidR="001A5D97" w:rsidRDefault="005704DF" w:rsidP="00435680">
      <w:r>
        <w:rPr>
          <w:noProof/>
        </w:rPr>
        <w:drawing>
          <wp:inline distT="0" distB="0" distL="0" distR="0" wp14:anchorId="3F34E245" wp14:editId="29E27D12">
            <wp:extent cx="6067425" cy="3686175"/>
            <wp:effectExtent l="38100" t="38100" r="85725" b="85725"/>
            <wp:docPr id="20" name="Graf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A5D97" w:rsidRDefault="001A5D97" w:rsidP="00435680"/>
    <w:p w:rsidR="001A5D97" w:rsidRDefault="001A5D97" w:rsidP="00435680"/>
    <w:p w:rsidR="001A5D97" w:rsidRDefault="001A5D97" w:rsidP="00435680"/>
    <w:p w:rsidR="001A5D97" w:rsidRDefault="001A5D97" w:rsidP="00435680"/>
    <w:p w:rsidR="000E7DAC" w:rsidRDefault="000E7DAC" w:rsidP="00435680">
      <w:pPr>
        <w:rPr>
          <w:b/>
          <w:u w:val="single"/>
        </w:rPr>
      </w:pPr>
      <w:r w:rsidRPr="000E7DAC">
        <w:rPr>
          <w:b/>
          <w:u w:val="single"/>
        </w:rPr>
        <w:t>Nehody pod vlivem alkoholu a návykových látek</w:t>
      </w:r>
    </w:p>
    <w:p w:rsidR="000E7DAC" w:rsidRDefault="000E7DAC" w:rsidP="00435680">
      <w:pPr>
        <w:rPr>
          <w:b/>
          <w:u w:val="single"/>
        </w:rPr>
      </w:pPr>
    </w:p>
    <w:p w:rsidR="00514A0D" w:rsidRDefault="000E7DAC" w:rsidP="00514A0D">
      <w:pPr>
        <w:jc w:val="both"/>
      </w:pPr>
      <w:r>
        <w:tab/>
      </w:r>
      <w:r w:rsidR="00514A0D" w:rsidRPr="00514A0D">
        <w:t>V roce 20</w:t>
      </w:r>
      <w:r w:rsidR="00514A0D">
        <w:t>1</w:t>
      </w:r>
      <w:r w:rsidR="005704DF">
        <w:t>2</w:t>
      </w:r>
      <w:r w:rsidR="00514A0D" w:rsidRPr="00514A0D">
        <w:t xml:space="preserve"> došlo na území hlavního města Prahy k</w:t>
      </w:r>
      <w:r w:rsidR="005704DF">
        <w:t>e</w:t>
      </w:r>
      <w:r w:rsidR="00514A0D" w:rsidRPr="00514A0D">
        <w:t> </w:t>
      </w:r>
      <w:r w:rsidR="005704DF">
        <w:rPr>
          <w:b/>
        </w:rPr>
        <w:t>480</w:t>
      </w:r>
      <w:r w:rsidR="00514A0D" w:rsidRPr="00514A0D">
        <w:rPr>
          <w:b/>
        </w:rPr>
        <w:t xml:space="preserve"> nehodám</w:t>
      </w:r>
      <w:r w:rsidR="00514A0D" w:rsidRPr="00514A0D">
        <w:t xml:space="preserve">, </w:t>
      </w:r>
      <w:r w:rsidR="00514A0D" w:rsidRPr="00514A0D">
        <w:rPr>
          <w:b/>
        </w:rPr>
        <w:t>kdy byl účastník pod vlivem alkoholu.</w:t>
      </w:r>
      <w:r w:rsidR="00514A0D" w:rsidRPr="00514A0D">
        <w:t xml:space="preserve"> </w:t>
      </w:r>
      <w:r w:rsidR="00514A0D">
        <w:t>Při těchto nehodách byl</w:t>
      </w:r>
      <w:r w:rsidR="005704DF">
        <w:t>a</w:t>
      </w:r>
      <w:r w:rsidR="00514A0D">
        <w:t xml:space="preserve"> </w:t>
      </w:r>
      <w:r w:rsidR="00514A0D" w:rsidRPr="00245CC2">
        <w:rPr>
          <w:b/>
        </w:rPr>
        <w:t>usmrcen</w:t>
      </w:r>
      <w:r w:rsidR="005704DF">
        <w:rPr>
          <w:b/>
        </w:rPr>
        <w:t>a</w:t>
      </w:r>
      <w:r w:rsidR="00514A0D" w:rsidRPr="00245CC2">
        <w:rPr>
          <w:b/>
        </w:rPr>
        <w:t xml:space="preserve"> </w:t>
      </w:r>
      <w:r w:rsidR="005704DF">
        <w:rPr>
          <w:b/>
        </w:rPr>
        <w:t>1</w:t>
      </w:r>
      <w:r w:rsidR="00514A0D" w:rsidRPr="00245CC2">
        <w:rPr>
          <w:b/>
        </w:rPr>
        <w:t xml:space="preserve"> osob</w:t>
      </w:r>
      <w:r w:rsidR="005704DF">
        <w:rPr>
          <w:b/>
        </w:rPr>
        <w:t>a</w:t>
      </w:r>
      <w:r w:rsidR="00514A0D">
        <w:t xml:space="preserve">. </w:t>
      </w:r>
      <w:r w:rsidR="00514A0D" w:rsidRPr="00514A0D">
        <w:t>Ve srovnání s rokem 20</w:t>
      </w:r>
      <w:r w:rsidR="005704DF">
        <w:t>11</w:t>
      </w:r>
      <w:r w:rsidR="00514A0D" w:rsidRPr="00514A0D">
        <w:t xml:space="preserve"> eviduje policie </w:t>
      </w:r>
      <w:r w:rsidR="00514A0D" w:rsidRPr="00514A0D">
        <w:rPr>
          <w:b/>
        </w:rPr>
        <w:t xml:space="preserve">o </w:t>
      </w:r>
      <w:r w:rsidR="005704DF">
        <w:rPr>
          <w:b/>
        </w:rPr>
        <w:t>24</w:t>
      </w:r>
      <w:r w:rsidR="00245CC2">
        <w:rPr>
          <w:b/>
        </w:rPr>
        <w:t xml:space="preserve"> </w:t>
      </w:r>
      <w:r w:rsidR="00514A0D" w:rsidRPr="00514A0D">
        <w:rPr>
          <w:b/>
        </w:rPr>
        <w:t>nehod</w:t>
      </w:r>
      <w:r w:rsidR="00245CC2">
        <w:rPr>
          <w:b/>
        </w:rPr>
        <w:t xml:space="preserve"> </w:t>
      </w:r>
      <w:r w:rsidR="005704DF">
        <w:rPr>
          <w:b/>
        </w:rPr>
        <w:t xml:space="preserve">a 4 usmrcené osoby </w:t>
      </w:r>
      <w:r w:rsidR="00245CC2">
        <w:rPr>
          <w:b/>
        </w:rPr>
        <w:t>méně</w:t>
      </w:r>
      <w:r w:rsidR="00514A0D">
        <w:t xml:space="preserve">. Policisté dále při </w:t>
      </w:r>
      <w:r w:rsidR="005704DF">
        <w:t>21</w:t>
      </w:r>
      <w:r w:rsidR="00514A0D">
        <w:t xml:space="preserve"> nehod</w:t>
      </w:r>
      <w:r w:rsidR="005704DF">
        <w:t>ě</w:t>
      </w:r>
      <w:r w:rsidR="00514A0D">
        <w:t xml:space="preserve"> zjistili, že</w:t>
      </w:r>
      <w:r w:rsidR="003F6B4D">
        <w:t xml:space="preserve"> je pachatel pod vlivem drog</w:t>
      </w:r>
      <w:r w:rsidR="005704DF">
        <w:t xml:space="preserve"> a v šesti případech byl pachatel nehody pod vlivem alkoholu a drog současně</w:t>
      </w:r>
      <w:r w:rsidR="003F6B4D">
        <w:t>.</w:t>
      </w:r>
    </w:p>
    <w:p w:rsidR="00245CC2" w:rsidRDefault="00514A0D" w:rsidP="00514A0D">
      <w:pPr>
        <w:jc w:val="both"/>
      </w:pPr>
      <w:r>
        <w:tab/>
      </w:r>
    </w:p>
    <w:p w:rsidR="005704DF" w:rsidRPr="00514A0D" w:rsidRDefault="005704DF" w:rsidP="00514A0D">
      <w:pPr>
        <w:jc w:val="both"/>
      </w:pPr>
    </w:p>
    <w:p w:rsidR="00245CC2" w:rsidRDefault="00245CC2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9"/>
        <w:gridCol w:w="1307"/>
        <w:gridCol w:w="1389"/>
        <w:gridCol w:w="1307"/>
        <w:gridCol w:w="1307"/>
      </w:tblGrid>
      <w:tr w:rsidR="005704DF" w:rsidRPr="005704DF" w:rsidTr="00AD5E45">
        <w:trPr>
          <w:trHeight w:val="795"/>
        </w:trPr>
        <w:tc>
          <w:tcPr>
            <w:tcW w:w="318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AD5E45" w:rsidRDefault="005704DF" w:rsidP="00AD5E45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lastRenderedPageBreak/>
              <w:t xml:space="preserve">Počet nehod zaviněných pod vlivem alkoholu, </w:t>
            </w:r>
          </w:p>
          <w:p w:rsidR="005704DF" w:rsidRPr="005704DF" w:rsidRDefault="00AD5E45" w:rsidP="00AD5E45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Praha 1</w:t>
            </w:r>
            <w:r w:rsidR="005704DF" w:rsidRPr="00AD5E45">
              <w:rPr>
                <w:rFonts w:cs="Arial"/>
                <w:sz w:val="16"/>
                <w:szCs w:val="16"/>
              </w:rPr>
              <w:t>998 - 2012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10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Usmrceno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Těžce zraněno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704DF">
              <w:rPr>
                <w:rFonts w:cs="Arial"/>
                <w:b/>
                <w:bCs/>
                <w:color w:val="FFFFFF"/>
                <w:sz w:val="16"/>
                <w:szCs w:val="16"/>
              </w:rPr>
              <w:t>Lehce zraněno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992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381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944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346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259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1 001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347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1 028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356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988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295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820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232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192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129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150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661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147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144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129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F6228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117</w:t>
            </w:r>
          </w:p>
        </w:tc>
      </w:tr>
      <w:tr w:rsidR="005704DF" w:rsidRPr="005704DF" w:rsidTr="005704DF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480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center"/>
            <w:hideMark/>
          </w:tcPr>
          <w:p w:rsidR="005704DF" w:rsidRPr="005704DF" w:rsidRDefault="005704DF" w:rsidP="005704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704DF">
              <w:rPr>
                <w:rFonts w:cs="Arial"/>
                <w:sz w:val="16"/>
                <w:szCs w:val="16"/>
              </w:rPr>
              <w:t>122</w:t>
            </w:r>
          </w:p>
        </w:tc>
      </w:tr>
    </w:tbl>
    <w:p w:rsidR="00FC71B4" w:rsidRDefault="00FC71B4" w:rsidP="00435680"/>
    <w:p w:rsidR="00FC71B4" w:rsidRDefault="00FC71B4" w:rsidP="00435680"/>
    <w:p w:rsidR="009E43D8" w:rsidRDefault="005704DF" w:rsidP="00435680">
      <w:r>
        <w:rPr>
          <w:noProof/>
        </w:rPr>
        <w:drawing>
          <wp:inline distT="0" distB="0" distL="0" distR="0" wp14:anchorId="28FB4664" wp14:editId="7D905273">
            <wp:extent cx="6105525" cy="3009900"/>
            <wp:effectExtent l="38100" t="38100" r="85725" b="95250"/>
            <wp:docPr id="21" name="Graf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E43D8" w:rsidRDefault="009E43D8" w:rsidP="00435680"/>
    <w:p w:rsidR="009E43D8" w:rsidRDefault="009E43D8" w:rsidP="00435680"/>
    <w:p w:rsidR="003F6B4D" w:rsidRDefault="003F6B4D" w:rsidP="003F6B4D">
      <w:pPr>
        <w:ind w:firstLine="708"/>
        <w:jc w:val="both"/>
      </w:pPr>
      <w:r w:rsidRPr="00514A0D">
        <w:t>Nejvíce nehod pod vlivem alkoholu zavinili řidiči motorových vozidel (</w:t>
      </w:r>
      <w:r w:rsidR="00234711">
        <w:t>415</w:t>
      </w:r>
      <w:r w:rsidRPr="00514A0D">
        <w:t xml:space="preserve"> nehod, tj. </w:t>
      </w:r>
      <w:r>
        <w:t>8</w:t>
      </w:r>
      <w:r w:rsidR="00234711">
        <w:t>6</w:t>
      </w:r>
      <w:r>
        <w:t>,5</w:t>
      </w:r>
      <w:r w:rsidRPr="00514A0D">
        <w:t xml:space="preserve"> % z celkového počtu nehod pod vlivem alkoholu), v</w:t>
      </w:r>
      <w:r>
        <w:t>e</w:t>
      </w:r>
      <w:r w:rsidRPr="00514A0D">
        <w:t xml:space="preserve">  </w:t>
      </w:r>
      <w:r w:rsidR="00234711">
        <w:t>52</w:t>
      </w:r>
      <w:r>
        <w:t xml:space="preserve"> </w:t>
      </w:r>
      <w:r w:rsidRPr="00514A0D">
        <w:t>případ</w:t>
      </w:r>
      <w:r w:rsidR="00234711">
        <w:t>ech</w:t>
      </w:r>
      <w:r>
        <w:t xml:space="preserve"> </w:t>
      </w:r>
      <w:r w:rsidRPr="00514A0D">
        <w:t xml:space="preserve">byl pod vlivem alkoholu chodec (tj. </w:t>
      </w:r>
      <w:r w:rsidR="00234711">
        <w:t>10,8</w:t>
      </w:r>
      <w:r w:rsidRPr="00514A0D">
        <w:t xml:space="preserve"> %), </w:t>
      </w:r>
      <w:r w:rsidR="00234711">
        <w:t>11</w:t>
      </w:r>
      <w:r w:rsidRPr="00514A0D">
        <w:t xml:space="preserve"> nehod eviduje policie u řidičů nemotorového vozidla (tj. </w:t>
      </w:r>
      <w:r w:rsidR="00234711">
        <w:t>2,3</w:t>
      </w:r>
      <w:r w:rsidRPr="00514A0D">
        <w:t xml:space="preserve"> %)</w:t>
      </w:r>
      <w:r>
        <w:t>,</w:t>
      </w:r>
      <w:r w:rsidRPr="00514A0D">
        <w:t xml:space="preserve"> </w:t>
      </w:r>
      <w:r w:rsidR="00234711">
        <w:t>1</w:t>
      </w:r>
      <w:r>
        <w:t xml:space="preserve"> nehod</w:t>
      </w:r>
      <w:r w:rsidR="00234711">
        <w:t>u</w:t>
      </w:r>
      <w:r>
        <w:t xml:space="preserve"> </w:t>
      </w:r>
      <w:r w:rsidRPr="00514A0D">
        <w:t>pod vlivem alkoholu zavinil jiný účastník silničního provozu.</w:t>
      </w:r>
      <w:r>
        <w:t xml:space="preserve"> </w:t>
      </w:r>
    </w:p>
    <w:p w:rsidR="009E43D8" w:rsidRDefault="009E43D8" w:rsidP="00435680"/>
    <w:p w:rsidR="00234711" w:rsidRDefault="00234711" w:rsidP="00234711">
      <w:pPr>
        <w:ind w:firstLine="708"/>
        <w:jc w:val="both"/>
      </w:pPr>
      <w:r>
        <w:t>Největší podíl na počtu zaviněných nehod mají chodci, kteří pod vlivem alkoholu zavinili 18,7 % z celkového počtu nehod řidičů nemotorových vozidel, následují řidiči nemotorových vozidel (11,2 % nehod zaviněných chodci). Řidiči motorových vozidel zavinili pod vlivem alkoholu 2,4 % jimi zaviněných nehod.</w:t>
      </w:r>
    </w:p>
    <w:p w:rsidR="00234711" w:rsidRDefault="00234711" w:rsidP="00435680"/>
    <w:p w:rsidR="00234711" w:rsidRDefault="00234711" w:rsidP="00435680"/>
    <w:p w:rsidR="00234711" w:rsidRDefault="00234711" w:rsidP="00435680"/>
    <w:p w:rsidR="00234711" w:rsidRDefault="00234711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1"/>
        <w:gridCol w:w="1793"/>
        <w:gridCol w:w="1905"/>
      </w:tblGrid>
      <w:tr w:rsidR="00234711" w:rsidRPr="00234711" w:rsidTr="00234711">
        <w:trPr>
          <w:trHeight w:val="680"/>
        </w:trPr>
        <w:tc>
          <w:tcPr>
            <w:tcW w:w="318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podle zavinění - pod vlivem alkoholu - 2012; 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počet nehod</w:t>
            </w:r>
          </w:p>
        </w:tc>
        <w:tc>
          <w:tcPr>
            <w:tcW w:w="10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podíl na počtu zaviněných nehod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 xml:space="preserve">Řidičem motorového vozidla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415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2,4%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Řidičem nemotorového vozidla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11,2%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z toho dětmi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0,0%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Chodcem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18,7%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z toho dětmi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0,0%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Jiným účastníkem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3,6%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Závadou komunikace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0,0%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Technickou závadou vozidla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0,0%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Lesní zvěří, domácím zvířetem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0,0%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Jiné zavinění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1,6%</w:t>
            </w:r>
          </w:p>
        </w:tc>
      </w:tr>
    </w:tbl>
    <w:p w:rsidR="00245CC2" w:rsidRDefault="00245CC2" w:rsidP="00435680"/>
    <w:p w:rsidR="00234711" w:rsidRDefault="00234711" w:rsidP="00435680"/>
    <w:p w:rsidR="00234711" w:rsidRDefault="00234711" w:rsidP="00234711">
      <w:pPr>
        <w:jc w:val="both"/>
      </w:pPr>
      <w:r>
        <w:tab/>
        <w:t>Největší počet nehod pod vlivem alkoholu zavinili řidiči motorových vozidel z příčiny „nesprávný způsob jízdy“ (398 nehod, což představuje 3,5 % z nehod zaviněných řidiči nesprávným způsobem jízdy), při „nedání přednosti“ bylo pod vlivem alkoholu 10 řidičů, 6 řidičů zavinilo pod vlivem alkoholu nehodu „nepřiměřenou rychlostí“.</w:t>
      </w:r>
    </w:p>
    <w:p w:rsidR="004B2281" w:rsidRDefault="004B2281" w:rsidP="00234711">
      <w:pPr>
        <w:jc w:val="both"/>
      </w:pPr>
    </w:p>
    <w:p w:rsidR="003F6B4D" w:rsidRDefault="003F6B4D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1"/>
        <w:gridCol w:w="1793"/>
        <w:gridCol w:w="1905"/>
      </w:tblGrid>
      <w:tr w:rsidR="00234711" w:rsidRPr="00234711" w:rsidTr="00234711">
        <w:trPr>
          <w:trHeight w:val="675"/>
        </w:trPr>
        <w:tc>
          <w:tcPr>
            <w:tcW w:w="318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podle příčin - pod vlivem alkoholu </w:t>
            </w:r>
            <w:r w:rsidRPr="00234711">
              <w:rPr>
                <w:rFonts w:cs="Arial"/>
                <w:sz w:val="16"/>
                <w:szCs w:val="16"/>
              </w:rPr>
              <w:t>(jen řidiči mot.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234711">
              <w:rPr>
                <w:rFonts w:cs="Arial"/>
                <w:sz w:val="16"/>
                <w:szCs w:val="16"/>
              </w:rPr>
              <w:t>vozidel)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  <w:tc>
          <w:tcPr>
            <w:tcW w:w="10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podíl na počtu nehod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Nepřiměřená rychlost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0,5%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Nesprávné předjíždění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1,2%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Nedání přednosti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0,2%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Nesprávný způsob jízdy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398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3,5%</w:t>
            </w:r>
          </w:p>
        </w:tc>
      </w:tr>
    </w:tbl>
    <w:p w:rsidR="009E43D8" w:rsidRDefault="009E43D8" w:rsidP="00435680"/>
    <w:p w:rsidR="003F6B4D" w:rsidRDefault="003F6B4D" w:rsidP="00435680"/>
    <w:p w:rsidR="003F6B4D" w:rsidRDefault="003F6B4D" w:rsidP="003F6B4D">
      <w:pPr>
        <w:ind w:firstLine="708"/>
        <w:jc w:val="both"/>
        <w:rPr>
          <w:rFonts w:cs="Arial"/>
        </w:rPr>
      </w:pPr>
      <w:r>
        <w:t>Celkem ve 1</w:t>
      </w:r>
      <w:r w:rsidR="00234711">
        <w:t>38</w:t>
      </w:r>
      <w:r>
        <w:t xml:space="preserve"> případech bylo u řidiče zjištěno množství alkoholu pod 1 ‰ alkoholu v dechu (krvi), v </w:t>
      </w:r>
      <w:r w:rsidR="00234711">
        <w:t>336</w:t>
      </w:r>
      <w:r>
        <w:t xml:space="preserve"> případech naměřili policisté řidiči po nehodě nad 1 ‰. V </w:t>
      </w:r>
      <w:r w:rsidR="00234711">
        <w:t>6</w:t>
      </w:r>
      <w:r>
        <w:t xml:space="preserve"> případech byl řidič současně pod vlivem alkoholu a drog. Při nehodách, kdy bylo řidiči naměřeno méně než jedna promile alkoholu v dechu, byla usmrcena jedna osoba, při nehodách s alkoholem nad 1 </w:t>
      </w:r>
      <w:r>
        <w:rPr>
          <w:rFonts w:cs="Arial"/>
        </w:rPr>
        <w:t xml:space="preserve">‰ </w:t>
      </w:r>
      <w:r w:rsidR="00234711">
        <w:rPr>
          <w:rFonts w:cs="Arial"/>
        </w:rPr>
        <w:t>nebyla usmrcena žádná osoba.</w:t>
      </w:r>
    </w:p>
    <w:p w:rsidR="00234711" w:rsidRDefault="00234711" w:rsidP="003F6B4D">
      <w:pPr>
        <w:ind w:firstLine="708"/>
        <w:jc w:val="both"/>
        <w:rPr>
          <w:rFonts w:cs="Arial"/>
        </w:rPr>
      </w:pPr>
    </w:p>
    <w:p w:rsidR="004B2281" w:rsidRDefault="004B2281" w:rsidP="003F6B4D">
      <w:pPr>
        <w:ind w:firstLine="708"/>
        <w:jc w:val="both"/>
        <w:rPr>
          <w:rFonts w:cs="Arial"/>
        </w:rPr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9"/>
        <w:gridCol w:w="1307"/>
        <w:gridCol w:w="1389"/>
        <w:gridCol w:w="1307"/>
        <w:gridCol w:w="1307"/>
      </w:tblGrid>
      <w:tr w:rsidR="00234711" w:rsidRPr="00234711" w:rsidTr="00234711">
        <w:trPr>
          <w:trHeight w:val="450"/>
        </w:trPr>
        <w:tc>
          <w:tcPr>
            <w:tcW w:w="318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Alkohol a drogy u viníka nehody</w:t>
            </w:r>
            <w:r w:rsidRPr="00AD5E45">
              <w:rPr>
                <w:rFonts w:cs="Arial"/>
                <w:b/>
                <w:bCs/>
                <w:sz w:val="16"/>
                <w:szCs w:val="16"/>
              </w:rPr>
              <w:t xml:space="preserve">; </w:t>
            </w:r>
            <w:r w:rsidRPr="00AD5E45">
              <w:rPr>
                <w:rFonts w:cs="Arial"/>
                <w:sz w:val="16"/>
                <w:szCs w:val="16"/>
              </w:rPr>
              <w:t>2012 (porovnání s rokem 2011)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10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usmrceno osob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34711">
              <w:rPr>
                <w:rFonts w:cs="Arial"/>
                <w:b/>
                <w:bCs/>
                <w:color w:val="FFFFFF"/>
                <w:sz w:val="16"/>
                <w:szCs w:val="16"/>
              </w:rPr>
              <w:t>usmrceno osob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 xml:space="preserve">Alkohol do 1 </w:t>
            </w:r>
            <w:r w:rsidRPr="00234711">
              <w:rPr>
                <w:rFonts w:ascii="Calibri" w:hAnsi="Calibri" w:cs="Calibri"/>
                <w:sz w:val="16"/>
                <w:szCs w:val="16"/>
              </w:rPr>
              <w:t>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Alkohol nad 1 ‰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348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Alkohol a drogy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</w:tr>
      <w:tr w:rsidR="00234711" w:rsidRPr="00234711" w:rsidTr="00234711">
        <w:trPr>
          <w:trHeight w:val="300"/>
        </w:trPr>
        <w:tc>
          <w:tcPr>
            <w:tcW w:w="31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Drogy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34711" w:rsidRPr="00234711" w:rsidRDefault="00234711" w:rsidP="00234711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34711">
              <w:rPr>
                <w:rFonts w:cs="Arial"/>
                <w:sz w:val="16"/>
                <w:szCs w:val="16"/>
              </w:rPr>
              <w:t>0</w:t>
            </w:r>
          </w:p>
        </w:tc>
      </w:tr>
    </w:tbl>
    <w:p w:rsidR="00234711" w:rsidRDefault="00234711" w:rsidP="00234711">
      <w:pPr>
        <w:jc w:val="both"/>
        <w:rPr>
          <w:rFonts w:cs="Arial"/>
        </w:rPr>
      </w:pPr>
    </w:p>
    <w:p w:rsidR="009E421E" w:rsidRDefault="00514A0D" w:rsidP="003F6B4D">
      <w:pPr>
        <w:jc w:val="both"/>
      </w:pPr>
      <w:r>
        <w:lastRenderedPageBreak/>
        <w:br/>
      </w:r>
      <w:r w:rsidR="004B2281">
        <w:rPr>
          <w:noProof/>
        </w:rPr>
        <w:drawing>
          <wp:inline distT="0" distB="0" distL="0" distR="0" wp14:anchorId="59A9D893" wp14:editId="19C07141">
            <wp:extent cx="5962650" cy="3457575"/>
            <wp:effectExtent l="38100" t="38100" r="95250" b="85725"/>
            <wp:docPr id="22" name="Graf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E43D8" w:rsidRDefault="009E43D8" w:rsidP="00435680"/>
    <w:p w:rsidR="009E43D8" w:rsidRDefault="009E43D8" w:rsidP="00435680"/>
    <w:p w:rsidR="00331914" w:rsidRPr="00984FDE" w:rsidRDefault="00331914" w:rsidP="00331914">
      <w:pPr>
        <w:spacing w:line="240" w:lineRule="auto"/>
        <w:rPr>
          <w:b/>
          <w:u w:val="single"/>
        </w:rPr>
      </w:pPr>
      <w:r w:rsidRPr="00984FDE">
        <w:rPr>
          <w:b/>
          <w:u w:val="single"/>
        </w:rPr>
        <w:t>Nehody podle druhu</w:t>
      </w:r>
    </w:p>
    <w:p w:rsidR="00331914" w:rsidRDefault="00331914" w:rsidP="00331914">
      <w:pPr>
        <w:spacing w:line="240" w:lineRule="auto"/>
      </w:pPr>
    </w:p>
    <w:p w:rsidR="00331914" w:rsidRDefault="00331914" w:rsidP="00721054">
      <w:pPr>
        <w:spacing w:line="240" w:lineRule="auto"/>
        <w:ind w:firstLine="708"/>
        <w:jc w:val="both"/>
      </w:pPr>
      <w:r>
        <w:t>Nejvíce dopravních nehod v roce 201</w:t>
      </w:r>
      <w:r w:rsidR="00721054">
        <w:t>2</w:t>
      </w:r>
      <w:r>
        <w:t xml:space="preserve"> končilo srážkou s jedoucím nekolejovým vozidlem (celkem </w:t>
      </w:r>
      <w:r w:rsidR="00721054">
        <w:t>9 497</w:t>
      </w:r>
      <w:r>
        <w:t xml:space="preserve"> nehod, tj. 5</w:t>
      </w:r>
      <w:r w:rsidR="00721054">
        <w:t>3</w:t>
      </w:r>
      <w:r>
        <w:t xml:space="preserve">,4 % z celkového počtu všech nehod). Při nehodách končících srážkou s jedoucím nekolejovým vozidlem bylo usmrceno </w:t>
      </w:r>
      <w:r w:rsidR="00721054">
        <w:t>8</w:t>
      </w:r>
      <w:r>
        <w:t xml:space="preserve"> osob (</w:t>
      </w:r>
      <w:r w:rsidR="00721054">
        <w:t>30,8</w:t>
      </w:r>
      <w:r>
        <w:t xml:space="preserve"> % z celkového počtu všech usmrcených osob). Následují nehody končící srážkou se zaparkovaným, odstaveným vozidlem </w:t>
      </w:r>
      <w:r w:rsidR="00721054">
        <w:br/>
      </w:r>
      <w:r>
        <w:t>(</w:t>
      </w:r>
      <w:r w:rsidR="00721054">
        <w:t>4 577</w:t>
      </w:r>
      <w:r>
        <w:t xml:space="preserve"> nehod), nehody končící srážkou s pevnou překážkou (</w:t>
      </w:r>
      <w:r w:rsidR="00721054">
        <w:t>1 987</w:t>
      </w:r>
      <w:r>
        <w:t xml:space="preserve"> nehod, </w:t>
      </w:r>
      <w:r w:rsidR="00721054">
        <w:t>4</w:t>
      </w:r>
      <w:r>
        <w:t xml:space="preserve"> usmrcen</w:t>
      </w:r>
      <w:r w:rsidR="00721054">
        <w:t>é</w:t>
      </w:r>
      <w:r>
        <w:t xml:space="preserve"> osob</w:t>
      </w:r>
      <w:r w:rsidR="00721054">
        <w:t>y</w:t>
      </w:r>
      <w:r>
        <w:t>) a nehody končící srážkou s chodcem (</w:t>
      </w:r>
      <w:r w:rsidR="00721054">
        <w:t>630</w:t>
      </w:r>
      <w:r>
        <w:t xml:space="preserve"> nehod, 1</w:t>
      </w:r>
      <w:r w:rsidR="00721054">
        <w:t>2</w:t>
      </w:r>
      <w:r>
        <w:t xml:space="preserve"> usmrcených osob). Ačkoliv nehod končících srážkou s chodcem bylo „pouze“ 3,</w:t>
      </w:r>
      <w:r w:rsidR="00721054">
        <w:t>5</w:t>
      </w:r>
      <w:r>
        <w:t xml:space="preserve"> % z celkového počtu všech nehod, usmrceno bylo 4</w:t>
      </w:r>
      <w:r w:rsidR="00721054">
        <w:t>6</w:t>
      </w:r>
      <w:r>
        <w:t>,</w:t>
      </w:r>
      <w:r w:rsidR="00721054">
        <w:t>2</w:t>
      </w:r>
      <w:r>
        <w:t xml:space="preserve"> % z celkového počtu usmrcených osob. </w:t>
      </w:r>
    </w:p>
    <w:p w:rsidR="00331914" w:rsidRDefault="00331914" w:rsidP="00331914">
      <w:pPr>
        <w:spacing w:line="240" w:lineRule="auto"/>
      </w:pPr>
    </w:p>
    <w:p w:rsidR="00AD5E45" w:rsidRDefault="00AD5E45" w:rsidP="00331914">
      <w:pPr>
        <w:spacing w:line="240" w:lineRule="auto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5"/>
        <w:gridCol w:w="1191"/>
        <w:gridCol w:w="1191"/>
        <w:gridCol w:w="1191"/>
        <w:gridCol w:w="1191"/>
      </w:tblGrid>
      <w:tr w:rsidR="00721054" w:rsidRPr="00721054" w:rsidTr="00721054">
        <w:trPr>
          <w:trHeight w:val="680"/>
        </w:trPr>
        <w:tc>
          <w:tcPr>
            <w:tcW w:w="360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Druh nehody, 2012</w:t>
            </w:r>
            <w:r w:rsidRPr="00721054">
              <w:rPr>
                <w:rFonts w:cs="Arial"/>
                <w:b/>
                <w:bCs/>
                <w:sz w:val="16"/>
                <w:szCs w:val="16"/>
              </w:rPr>
              <w:t>;</w:t>
            </w:r>
            <w:r w:rsidRPr="00721054">
              <w:rPr>
                <w:rFonts w:cs="Arial"/>
                <w:sz w:val="16"/>
                <w:szCs w:val="16"/>
              </w:rPr>
              <w:t xml:space="preserve"> porovnání s rokem 2011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AD5E45" w:rsidRDefault="00721054" w:rsidP="00721054">
            <w:pPr>
              <w:spacing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2011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AD5E45" w:rsidRDefault="00721054" w:rsidP="00721054">
            <w:pPr>
              <w:spacing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2012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AD5E45" w:rsidRDefault="00721054" w:rsidP="00721054">
            <w:pPr>
              <w:spacing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rozdíl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AD5E45" w:rsidRDefault="00721054" w:rsidP="00721054">
            <w:pPr>
              <w:spacing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tj. v %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jedoucím nekolejovým vozidlem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8680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9497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817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9,4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vozidlem zaparkovaným, odstaveným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4261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4577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316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7,4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pevnou překážkou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1939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1987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2,5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chodcem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598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630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5,4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z toho dětmi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14,7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lesní zvěří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domácím zvířetem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-5,4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vlakem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tramvají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485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492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1,4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havárie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4,6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jiný druh nehody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354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353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-0,3</w:t>
            </w:r>
          </w:p>
        </w:tc>
      </w:tr>
    </w:tbl>
    <w:p w:rsidR="00331914" w:rsidRDefault="00331914" w:rsidP="00331914">
      <w:pPr>
        <w:spacing w:line="240" w:lineRule="auto"/>
      </w:pPr>
    </w:p>
    <w:p w:rsidR="00331914" w:rsidRDefault="00331914" w:rsidP="00331914">
      <w:pPr>
        <w:spacing w:line="240" w:lineRule="auto"/>
      </w:pPr>
    </w:p>
    <w:p w:rsidR="00331914" w:rsidRDefault="00331914" w:rsidP="00331914">
      <w:pPr>
        <w:spacing w:line="240" w:lineRule="auto"/>
      </w:pPr>
    </w:p>
    <w:p w:rsidR="00331914" w:rsidRDefault="00331914" w:rsidP="00331914">
      <w:pPr>
        <w:spacing w:line="240" w:lineRule="auto"/>
        <w:jc w:val="both"/>
      </w:pPr>
      <w:r>
        <w:tab/>
      </w:r>
      <w:r w:rsidR="00721054">
        <w:t>I přes zvýšení počtu dopravních nehod zaznamenáváme pokles usmrcených osob u nehod končících srážkou s chodcem (o 5 usmrcených, tj. o 29,4 %), u nehod končících srážkou s pevnou překážkou (o5 usmrcených, tj. o 55,6 %), u nehod končících srážkou jedoucích nekolejových vozidel (o 3 osoby, tj. o 27,3 %) i u nehod končících srážkou s tramvají (o 1 osobu, tj. o 50 %). Nárůst počtu usmrcených osob zaznamenáváme pouze u jiného druhu nehody (o 1 usmrcenou osobu).</w:t>
      </w:r>
    </w:p>
    <w:p w:rsidR="00331914" w:rsidRDefault="00331914" w:rsidP="00331914">
      <w:pPr>
        <w:spacing w:line="240" w:lineRule="auto"/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5"/>
        <w:gridCol w:w="1191"/>
        <w:gridCol w:w="1191"/>
        <w:gridCol w:w="1191"/>
        <w:gridCol w:w="1191"/>
      </w:tblGrid>
      <w:tr w:rsidR="00721054" w:rsidRPr="00721054" w:rsidTr="00721054">
        <w:trPr>
          <w:trHeight w:val="680"/>
        </w:trPr>
        <w:tc>
          <w:tcPr>
            <w:tcW w:w="360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Druh nehody - usmrcené osoby - 2012</w:t>
            </w:r>
            <w:r w:rsidRPr="00721054">
              <w:rPr>
                <w:rFonts w:cs="Arial"/>
                <w:b/>
                <w:bCs/>
                <w:sz w:val="16"/>
                <w:szCs w:val="16"/>
              </w:rPr>
              <w:t xml:space="preserve">; </w:t>
            </w:r>
            <w:r w:rsidRPr="00721054">
              <w:rPr>
                <w:rFonts w:cs="Arial"/>
                <w:sz w:val="16"/>
                <w:szCs w:val="16"/>
              </w:rPr>
              <w:t>porovnání s rokem 2011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AD5E45" w:rsidRDefault="00721054" w:rsidP="00721054">
            <w:pPr>
              <w:spacing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2011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AD5E45" w:rsidRDefault="00721054" w:rsidP="00721054">
            <w:pPr>
              <w:spacing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2012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AD5E45" w:rsidRDefault="00721054" w:rsidP="00721054">
            <w:pPr>
              <w:spacing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rozdíl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21054" w:rsidRPr="00AD5E45" w:rsidRDefault="00721054" w:rsidP="00721054">
            <w:pPr>
              <w:spacing w:line="240" w:lineRule="auto"/>
              <w:jc w:val="center"/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D5E45">
              <w:rPr>
                <w:rFonts w:cs="Arial"/>
                <w:b/>
                <w:bCs/>
                <w:color w:val="FFFFFF" w:themeColor="background1"/>
                <w:sz w:val="16"/>
                <w:szCs w:val="16"/>
              </w:rPr>
              <w:t>tj. v %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jedoucím nekolejovým vozidlem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-27,3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vozidlem zaparkovaným, odstaveným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pevnou překážkou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-55,6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chodcem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-29,4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z toho dětmi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lesní zvěří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domácím zvířetem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vlakem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srážka s tramvají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-50,0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havárie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721054" w:rsidRPr="00721054" w:rsidTr="00721054">
        <w:trPr>
          <w:trHeight w:val="340"/>
        </w:trPr>
        <w:tc>
          <w:tcPr>
            <w:tcW w:w="36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jiný druh nehody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21054" w:rsidRPr="00721054" w:rsidRDefault="00721054" w:rsidP="0072105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21054">
              <w:rPr>
                <w:rFonts w:cs="Arial"/>
                <w:sz w:val="16"/>
                <w:szCs w:val="16"/>
              </w:rPr>
              <w:t>.</w:t>
            </w:r>
          </w:p>
        </w:tc>
      </w:tr>
    </w:tbl>
    <w:p w:rsidR="00331914" w:rsidRDefault="00331914" w:rsidP="00331914">
      <w:pPr>
        <w:spacing w:line="240" w:lineRule="auto"/>
        <w:jc w:val="both"/>
      </w:pPr>
    </w:p>
    <w:p w:rsidR="00331914" w:rsidRDefault="00331914" w:rsidP="00331914">
      <w:pPr>
        <w:spacing w:line="240" w:lineRule="auto"/>
      </w:pPr>
    </w:p>
    <w:p w:rsidR="00331914" w:rsidRDefault="002C65D1" w:rsidP="00331914">
      <w:pPr>
        <w:spacing w:line="240" w:lineRule="auto"/>
      </w:pPr>
      <w:r>
        <w:rPr>
          <w:noProof/>
        </w:rPr>
        <w:drawing>
          <wp:inline distT="0" distB="0" distL="0" distR="0" wp14:anchorId="4DDE7342" wp14:editId="0322B5B0">
            <wp:extent cx="5971430" cy="4603806"/>
            <wp:effectExtent l="57150" t="38100" r="86995" b="101600"/>
            <wp:docPr id="23" name="Graf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31914" w:rsidRDefault="002C65D1" w:rsidP="00331914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2E20C768" wp14:editId="3928E558">
            <wp:extent cx="5972175" cy="3714750"/>
            <wp:effectExtent l="38100" t="38100" r="85725" b="95250"/>
            <wp:docPr id="24" name="Graf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31914" w:rsidRDefault="00331914" w:rsidP="00331914">
      <w:pPr>
        <w:spacing w:line="240" w:lineRule="auto"/>
      </w:pPr>
    </w:p>
    <w:p w:rsidR="00331914" w:rsidRDefault="00331914" w:rsidP="00435680"/>
    <w:p w:rsidR="009E421E" w:rsidRPr="00984FDE" w:rsidRDefault="00984FDE">
      <w:pPr>
        <w:spacing w:line="240" w:lineRule="auto"/>
        <w:rPr>
          <w:b/>
          <w:u w:val="single"/>
        </w:rPr>
      </w:pPr>
      <w:r w:rsidRPr="00984FDE">
        <w:rPr>
          <w:b/>
          <w:u w:val="single"/>
        </w:rPr>
        <w:t>Nehody podle zavinění</w:t>
      </w:r>
    </w:p>
    <w:p w:rsidR="009E421E" w:rsidRDefault="009E421E">
      <w:pPr>
        <w:spacing w:line="240" w:lineRule="auto"/>
      </w:pPr>
    </w:p>
    <w:p w:rsidR="009E421E" w:rsidRDefault="003F6B4D" w:rsidP="00984FDE">
      <w:pPr>
        <w:spacing w:line="240" w:lineRule="auto"/>
        <w:ind w:firstLine="708"/>
        <w:jc w:val="both"/>
      </w:pPr>
      <w:r>
        <w:t>Stejně jako v předchozích letech zavinili nejvíce dopravních nehod ř</w:t>
      </w:r>
      <w:r w:rsidR="009E421E" w:rsidRPr="009E421E">
        <w:t xml:space="preserve">idiči motorových vozidel. Při </w:t>
      </w:r>
      <w:r w:rsidR="009E421E" w:rsidRPr="009E421E">
        <w:rPr>
          <w:b/>
        </w:rPr>
        <w:t> </w:t>
      </w:r>
      <w:r w:rsidR="00331914">
        <w:rPr>
          <w:b/>
        </w:rPr>
        <w:t>17</w:t>
      </w:r>
      <w:r w:rsidR="006972EE">
        <w:rPr>
          <w:b/>
        </w:rPr>
        <w:t xml:space="preserve"> </w:t>
      </w:r>
      <w:r w:rsidR="00331914">
        <w:rPr>
          <w:b/>
        </w:rPr>
        <w:t>108</w:t>
      </w:r>
      <w:r>
        <w:rPr>
          <w:b/>
        </w:rPr>
        <w:t xml:space="preserve"> </w:t>
      </w:r>
      <w:r w:rsidR="009E421E" w:rsidRPr="009E421E">
        <w:rPr>
          <w:b/>
        </w:rPr>
        <w:t xml:space="preserve">nehodách zaviněných řidiči motorových vozidel bylo </w:t>
      </w:r>
      <w:r w:rsidR="00331914">
        <w:rPr>
          <w:b/>
        </w:rPr>
        <w:t xml:space="preserve">21 </w:t>
      </w:r>
      <w:r w:rsidR="009E421E" w:rsidRPr="009E421E">
        <w:rPr>
          <w:b/>
        </w:rPr>
        <w:t>usmrceno  osob</w:t>
      </w:r>
      <w:r w:rsidR="006972EE">
        <w:t>, což ve srovnání s rokem 201</w:t>
      </w:r>
      <w:r w:rsidR="00331914">
        <w:t>1</w:t>
      </w:r>
      <w:r w:rsidR="009E421E" w:rsidRPr="009E421E">
        <w:t xml:space="preserve"> představuje </w:t>
      </w:r>
      <w:r w:rsidR="00331914">
        <w:t>nárůst počtu nehod o 1 222</w:t>
      </w:r>
      <w:r w:rsidR="006972EE">
        <w:t xml:space="preserve">, tj. o </w:t>
      </w:r>
      <w:r w:rsidR="00331914">
        <w:t>7,7</w:t>
      </w:r>
      <w:r w:rsidR="006972EE">
        <w:t xml:space="preserve"> % a </w:t>
      </w:r>
      <w:r w:rsidR="00331914">
        <w:t>pokles</w:t>
      </w:r>
      <w:r w:rsidR="006972EE">
        <w:t xml:space="preserve"> o </w:t>
      </w:r>
      <w:r w:rsidR="00331914">
        <w:t>10</w:t>
      </w:r>
      <w:r w:rsidR="009E421E" w:rsidRPr="009E421E">
        <w:t xml:space="preserve"> usmrcených osob, tj. o </w:t>
      </w:r>
      <w:r w:rsidR="00331914">
        <w:t>32,3</w:t>
      </w:r>
      <w:r w:rsidR="006972EE">
        <w:t xml:space="preserve"> </w:t>
      </w:r>
      <w:r w:rsidR="009E421E" w:rsidRPr="009E421E">
        <w:t>%.</w:t>
      </w:r>
    </w:p>
    <w:p w:rsidR="00984FDE" w:rsidRDefault="00984FDE" w:rsidP="00984FDE">
      <w:pPr>
        <w:spacing w:line="240" w:lineRule="auto"/>
        <w:ind w:firstLine="708"/>
        <w:jc w:val="both"/>
      </w:pPr>
      <w:r w:rsidRPr="00984FDE">
        <w:t xml:space="preserve">Meziročně zaznamenáváme </w:t>
      </w:r>
      <w:r w:rsidR="006972EE">
        <w:t>pokles</w:t>
      </w:r>
      <w:r>
        <w:t xml:space="preserve"> v počtu nehod </w:t>
      </w:r>
      <w:r w:rsidRPr="00984FDE">
        <w:t xml:space="preserve">zaviněných řidičem </w:t>
      </w:r>
      <w:r w:rsidR="00331914">
        <w:t>ne</w:t>
      </w:r>
      <w:r w:rsidRPr="00984FDE">
        <w:t>motorového vozidla (</w:t>
      </w:r>
      <w:r>
        <w:t xml:space="preserve">o </w:t>
      </w:r>
      <w:r w:rsidR="00331914">
        <w:t>7</w:t>
      </w:r>
      <w:r w:rsidRPr="00984FDE">
        <w:t xml:space="preserve"> nehod, tj. </w:t>
      </w:r>
      <w:r w:rsidR="00331914">
        <w:t>6,7</w:t>
      </w:r>
      <w:r w:rsidRPr="00984FDE">
        <w:t xml:space="preserve"> %), </w:t>
      </w:r>
      <w:r w:rsidR="00331914">
        <w:t xml:space="preserve">řidičem nemotorového vozidla – dítětem </w:t>
      </w:r>
      <w:r w:rsidR="00331914" w:rsidRPr="00984FDE">
        <w:t>(</w:t>
      </w:r>
      <w:r w:rsidR="00331914">
        <w:t>o 2 nehod, tj. o 25 %), závadou komunikace</w:t>
      </w:r>
      <w:r w:rsidR="006972EE">
        <w:t xml:space="preserve"> (o</w:t>
      </w:r>
      <w:r w:rsidRPr="00984FDE">
        <w:t xml:space="preserve"> </w:t>
      </w:r>
      <w:r w:rsidR="00331914">
        <w:t>26</w:t>
      </w:r>
      <w:r w:rsidRPr="00984FDE">
        <w:t xml:space="preserve"> nehod, tj. </w:t>
      </w:r>
      <w:r w:rsidR="00331914">
        <w:t>59,1</w:t>
      </w:r>
      <w:r w:rsidRPr="00984FDE">
        <w:t xml:space="preserve"> %)</w:t>
      </w:r>
      <w:r w:rsidR="006972EE">
        <w:t>,</w:t>
      </w:r>
      <w:r w:rsidRPr="00984FDE">
        <w:t xml:space="preserve"> </w:t>
      </w:r>
      <w:r w:rsidR="00331914">
        <w:t>technickou závadou vozidla</w:t>
      </w:r>
      <w:r w:rsidRPr="00984FDE">
        <w:t xml:space="preserve"> (</w:t>
      </w:r>
      <w:r w:rsidR="006972EE">
        <w:t xml:space="preserve">o </w:t>
      </w:r>
      <w:r w:rsidR="00331914">
        <w:t>1</w:t>
      </w:r>
      <w:r>
        <w:t xml:space="preserve"> nehod</w:t>
      </w:r>
      <w:r w:rsidR="00331914">
        <w:t>u</w:t>
      </w:r>
      <w:r>
        <w:t xml:space="preserve">, tj. </w:t>
      </w:r>
      <w:r w:rsidR="00331914">
        <w:t>1,2 %)</w:t>
      </w:r>
      <w:r w:rsidR="006972EE">
        <w:t xml:space="preserve">. </w:t>
      </w:r>
      <w:r w:rsidRPr="00984FDE">
        <w:t xml:space="preserve">Naopak </w:t>
      </w:r>
      <w:r w:rsidR="006972EE">
        <w:t>nárůst</w:t>
      </w:r>
      <w:r w:rsidRPr="00984FDE">
        <w:t xml:space="preserve"> zaznamenáváme v počtu nehod zaviněných řidičem motorového vozidla</w:t>
      </w:r>
      <w:r w:rsidR="006972EE">
        <w:t xml:space="preserve"> (o </w:t>
      </w:r>
      <w:r w:rsidR="00331914">
        <w:t>1 222</w:t>
      </w:r>
      <w:r w:rsidR="006972EE">
        <w:t xml:space="preserve"> nehod, tj. </w:t>
      </w:r>
      <w:r w:rsidR="00331914">
        <w:t>7,7 %</w:t>
      </w:r>
      <w:r w:rsidR="006972EE">
        <w:t xml:space="preserve">), </w:t>
      </w:r>
      <w:r w:rsidR="00331914">
        <w:t>chodcem</w:t>
      </w:r>
      <w:r w:rsidR="006972EE">
        <w:t xml:space="preserve"> </w:t>
      </w:r>
      <w:r w:rsidRPr="00984FDE">
        <w:t>(</w:t>
      </w:r>
      <w:r w:rsidR="006972EE">
        <w:t xml:space="preserve">o </w:t>
      </w:r>
      <w:r w:rsidR="00331914">
        <w:t>33</w:t>
      </w:r>
      <w:r w:rsidR="006972EE">
        <w:t xml:space="preserve"> </w:t>
      </w:r>
      <w:r>
        <w:t>nehod</w:t>
      </w:r>
      <w:r w:rsidR="00331914">
        <w:t>, tj. 13,5 %</w:t>
      </w:r>
      <w:r w:rsidRPr="00984FDE">
        <w:t>)</w:t>
      </w:r>
      <w:r w:rsidR="00331914">
        <w:t>, chodcem – dítětem (o 19 nehod, tj. 46,3 %)</w:t>
      </w:r>
      <w:r w:rsidRPr="00984FDE">
        <w:t xml:space="preserve"> </w:t>
      </w:r>
    </w:p>
    <w:p w:rsidR="009E421E" w:rsidRDefault="009E421E">
      <w:pPr>
        <w:spacing w:line="240" w:lineRule="auto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1395"/>
        <w:gridCol w:w="1218"/>
        <w:gridCol w:w="1420"/>
        <w:gridCol w:w="1446"/>
      </w:tblGrid>
      <w:tr w:rsidR="00331914" w:rsidRPr="00331914" w:rsidTr="00331914">
        <w:trPr>
          <w:trHeight w:val="675"/>
        </w:trPr>
        <w:tc>
          <w:tcPr>
            <w:tcW w:w="328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Nehody podle zavinění, 2012; porovnání s rokem 2011</w:t>
            </w:r>
          </w:p>
        </w:tc>
        <w:tc>
          <w:tcPr>
            <w:tcW w:w="11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  <w:tc>
          <w:tcPr>
            <w:tcW w:w="11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rozdíl</w:t>
            </w:r>
          </w:p>
        </w:tc>
        <w:tc>
          <w:tcPr>
            <w:tcW w:w="11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tj. v %</w:t>
            </w:r>
          </w:p>
        </w:tc>
      </w:tr>
      <w:tr w:rsidR="00331914" w:rsidRPr="00331914" w:rsidTr="00331914">
        <w:trPr>
          <w:trHeight w:val="390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 xml:space="preserve">Řidičem motorového vozidla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15886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17108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1222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7,7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Řidičem nemotorového vozidla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-6,7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z toho dětmi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-25,0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Chodcem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278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13,5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z toho dětmi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46,3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Jiným účastníkem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-15,2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Závadou komunikace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-59,1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Technickou závadou vozidla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-1,2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Lesní zvěří, domácím zvířetem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4,3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Jiné zavinění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3,3</w:t>
            </w:r>
          </w:p>
        </w:tc>
      </w:tr>
    </w:tbl>
    <w:p w:rsidR="003F6B4D" w:rsidRDefault="003F6B4D">
      <w:pPr>
        <w:spacing w:line="240" w:lineRule="auto"/>
      </w:pPr>
    </w:p>
    <w:p w:rsidR="006972EE" w:rsidRDefault="00331914" w:rsidP="006972EE">
      <w:pPr>
        <w:spacing w:line="240" w:lineRule="auto"/>
        <w:ind w:firstLine="708"/>
        <w:jc w:val="both"/>
      </w:pPr>
      <w:r>
        <w:t>Nejvyšší pokles v této kategorii zaznamenáváme meziročně u nehod zaviněných řidičem motorového vozidla (o 10 usmrcených osob, tj. 32,3 %), pokles zaznamenáváme i u počtu usmrcených při nehodách zaviněných chodcem (o 4 osoby, tj. o 57,1 %).</w:t>
      </w:r>
    </w:p>
    <w:p w:rsidR="003F6B4D" w:rsidRDefault="003F6B4D">
      <w:pPr>
        <w:spacing w:line="240" w:lineRule="auto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1395"/>
        <w:gridCol w:w="1218"/>
        <w:gridCol w:w="1420"/>
        <w:gridCol w:w="1446"/>
      </w:tblGrid>
      <w:tr w:rsidR="00331914" w:rsidRPr="00331914" w:rsidTr="00331914">
        <w:trPr>
          <w:trHeight w:val="645"/>
        </w:trPr>
        <w:tc>
          <w:tcPr>
            <w:tcW w:w="328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Nehody podle zavinění - Usmrcené osoby - 2012; porovnání s rokem 2011</w:t>
            </w:r>
          </w:p>
        </w:tc>
        <w:tc>
          <w:tcPr>
            <w:tcW w:w="11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  <w:tc>
          <w:tcPr>
            <w:tcW w:w="11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rozdíl</w:t>
            </w:r>
          </w:p>
        </w:tc>
        <w:tc>
          <w:tcPr>
            <w:tcW w:w="11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331914">
              <w:rPr>
                <w:rFonts w:cs="Arial"/>
                <w:b/>
                <w:bCs/>
                <w:color w:val="FFFFFF"/>
                <w:sz w:val="16"/>
                <w:szCs w:val="16"/>
              </w:rPr>
              <w:t>tj. v %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 xml:space="preserve">Řidičem motorového vozidla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-32,3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Řidičem nemotorového vozidla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z toho dětmi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Chodcem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-57,1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z toho dětmi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Jiným účastníkem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Závadou komunikace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Technickou závadou vozidla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Lesní zvěří, domácím zvířetem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0,0</w:t>
            </w:r>
          </w:p>
        </w:tc>
      </w:tr>
      <w:tr w:rsidR="00331914" w:rsidRPr="00331914" w:rsidTr="00331914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Jiné zavinění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331914" w:rsidRPr="00331914" w:rsidRDefault="00331914" w:rsidP="00331914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331914">
              <w:rPr>
                <w:rFonts w:cs="Arial"/>
                <w:sz w:val="16"/>
                <w:szCs w:val="16"/>
              </w:rPr>
              <w:t>100,0</w:t>
            </w:r>
          </w:p>
        </w:tc>
      </w:tr>
    </w:tbl>
    <w:p w:rsidR="006972EE" w:rsidRDefault="006972EE">
      <w:pPr>
        <w:spacing w:line="240" w:lineRule="auto"/>
      </w:pPr>
    </w:p>
    <w:p w:rsidR="006972EE" w:rsidRDefault="006972EE">
      <w:pPr>
        <w:spacing w:line="240" w:lineRule="auto"/>
      </w:pPr>
    </w:p>
    <w:p w:rsidR="00984FDE" w:rsidRDefault="00984FDE">
      <w:pPr>
        <w:spacing w:line="240" w:lineRule="auto"/>
      </w:pPr>
    </w:p>
    <w:p w:rsidR="00FC71B4" w:rsidRDefault="00FC71B4" w:rsidP="00435680">
      <w:pPr>
        <w:rPr>
          <w:b/>
          <w:u w:val="single"/>
        </w:rPr>
      </w:pPr>
    </w:p>
    <w:p w:rsidR="000E61D3" w:rsidRDefault="000E61D3" w:rsidP="00435680">
      <w:pPr>
        <w:rPr>
          <w:b/>
          <w:u w:val="single"/>
        </w:rPr>
      </w:pPr>
      <w:r w:rsidRPr="000E61D3">
        <w:rPr>
          <w:b/>
          <w:u w:val="single"/>
        </w:rPr>
        <w:t>Hlavní příčiny nehod</w:t>
      </w:r>
    </w:p>
    <w:p w:rsidR="000E61D3" w:rsidRPr="000E61D3" w:rsidRDefault="000E61D3" w:rsidP="000E61D3">
      <w:pPr>
        <w:jc w:val="both"/>
      </w:pPr>
      <w:r>
        <w:tab/>
      </w:r>
    </w:p>
    <w:p w:rsidR="00514A0D" w:rsidRDefault="000E61D3" w:rsidP="00BC370E">
      <w:pPr>
        <w:ind w:firstLine="708"/>
        <w:jc w:val="both"/>
      </w:pPr>
      <w:r w:rsidRPr="000E61D3">
        <w:t>Nejvíce dopravních nehod zavinili řidiči motorových vozidel z příčiny „</w:t>
      </w:r>
      <w:r w:rsidR="00D948C0">
        <w:rPr>
          <w:b/>
        </w:rPr>
        <w:t>n</w:t>
      </w:r>
      <w:r w:rsidRPr="000E61D3">
        <w:rPr>
          <w:b/>
        </w:rPr>
        <w:t>esprávný způsob jízdy</w:t>
      </w:r>
      <w:r w:rsidRPr="000E61D3">
        <w:t>“ (</w:t>
      </w:r>
      <w:r w:rsidR="00D948C0">
        <w:t>11 290 nehod, tj. 66</w:t>
      </w:r>
      <w:r w:rsidRPr="000E61D3">
        <w:rPr>
          <w:b/>
        </w:rPr>
        <w:t xml:space="preserve"> %</w:t>
      </w:r>
      <w:r w:rsidRPr="000E61D3">
        <w:t xml:space="preserve"> z počtu nehod zaviněných řidiči), následuje příčina „</w:t>
      </w:r>
      <w:r w:rsidR="00D948C0">
        <w:t>n</w:t>
      </w:r>
      <w:r w:rsidRPr="000E61D3">
        <w:t>edání přednosti“ (</w:t>
      </w:r>
      <w:r w:rsidR="00D948C0">
        <w:t>26,4</w:t>
      </w:r>
      <w:r w:rsidRPr="000E61D3">
        <w:t xml:space="preserve"> %), „</w:t>
      </w:r>
      <w:r w:rsidR="00D948C0">
        <w:t>n</w:t>
      </w:r>
      <w:r w:rsidRPr="000E61D3">
        <w:t>epřiměřená rychlost“ (</w:t>
      </w:r>
      <w:r w:rsidR="00D948C0">
        <w:t xml:space="preserve">7,1 </w:t>
      </w:r>
      <w:r w:rsidRPr="000E61D3">
        <w:t>%) a „</w:t>
      </w:r>
      <w:r w:rsidR="00D948C0">
        <w:t>n</w:t>
      </w:r>
      <w:r w:rsidRPr="000E61D3">
        <w:t>esprávné předjíždění“ s</w:t>
      </w:r>
      <w:r w:rsidR="00D948C0">
        <w:t> 0,5</w:t>
      </w:r>
      <w:r w:rsidRPr="000E61D3">
        <w:t xml:space="preserve"> % z počtu nehod zaviněných řidiči motorových vozidel.</w:t>
      </w:r>
    </w:p>
    <w:p w:rsidR="00FC71B4" w:rsidRDefault="00FC71B4" w:rsidP="00BC370E">
      <w:pPr>
        <w:ind w:firstLine="708"/>
        <w:jc w:val="both"/>
      </w:pPr>
    </w:p>
    <w:p w:rsidR="001A5D97" w:rsidRDefault="00E321D9" w:rsidP="00E321D9">
      <w:pPr>
        <w:jc w:val="both"/>
      </w:pPr>
      <w:r>
        <w:tab/>
        <w:t>Nejvíce osob bylo usmrceno při dopravních nehodách zaviněných „</w:t>
      </w:r>
      <w:r w:rsidR="00D948C0">
        <w:t>n</w:t>
      </w:r>
      <w:r>
        <w:t xml:space="preserve">esprávným způsobem jízdy“ (celkem </w:t>
      </w:r>
      <w:r w:rsidR="00D948C0">
        <w:t>10</w:t>
      </w:r>
      <w:r>
        <w:t xml:space="preserve">), </w:t>
      </w:r>
      <w:r w:rsidR="00D948C0">
        <w:t>9</w:t>
      </w:r>
      <w:r>
        <w:t xml:space="preserve"> osob bylo usmrceno při nehodách zaviněných</w:t>
      </w:r>
      <w:r w:rsidR="00602271">
        <w:t xml:space="preserve"> „</w:t>
      </w:r>
      <w:r w:rsidR="00D948C0">
        <w:t>n</w:t>
      </w:r>
      <w:r w:rsidR="00602271">
        <w:t xml:space="preserve">edáním přednosti“ a </w:t>
      </w:r>
      <w:r w:rsidR="00D948C0">
        <w:t>2</w:t>
      </w:r>
      <w:r>
        <w:t xml:space="preserve"> osob</w:t>
      </w:r>
      <w:r w:rsidR="00D948C0">
        <w:t>y</w:t>
      </w:r>
      <w:r>
        <w:t xml:space="preserve"> při nehodách zaviněných </w:t>
      </w:r>
      <w:r w:rsidR="00602271">
        <w:t>„</w:t>
      </w:r>
      <w:r w:rsidR="00D948C0">
        <w:t>n</w:t>
      </w:r>
      <w:r w:rsidR="00602271">
        <w:t xml:space="preserve">epřiměřenou rychlostí“. Největší meziroční </w:t>
      </w:r>
      <w:r w:rsidR="00D948C0">
        <w:t>pokles</w:t>
      </w:r>
      <w:r w:rsidR="00602271">
        <w:t xml:space="preserve"> počtu usmrcených osob zaznamenáváme při nehodách zaviněných „</w:t>
      </w:r>
      <w:r w:rsidR="00D948C0">
        <w:t>nesprávným způsobem jízdy</w:t>
      </w:r>
      <w:r w:rsidR="00602271">
        <w:t xml:space="preserve"> (</w:t>
      </w:r>
      <w:r w:rsidR="00D948C0">
        <w:t>pokles</w:t>
      </w:r>
      <w:r w:rsidR="00602271">
        <w:t xml:space="preserve"> o </w:t>
      </w:r>
      <w:r w:rsidR="00D948C0">
        <w:t>4</w:t>
      </w:r>
      <w:r w:rsidR="00602271">
        <w:t xml:space="preserve"> osob</w:t>
      </w:r>
      <w:r w:rsidR="00D948C0">
        <w:t>y</w:t>
      </w:r>
      <w:r w:rsidR="00602271">
        <w:t>),</w:t>
      </w:r>
      <w:r w:rsidR="00D948C0">
        <w:t xml:space="preserve"> i v dalších kategoriích zaznamenáváme pokles počtu usmrcených osob, u nehod zaviněných „nepřiměřenou rychlostí“ i „nedáním přednosti“, vždy o 3 osoby.</w:t>
      </w:r>
      <w:r w:rsidR="00602271">
        <w:t xml:space="preserve"> </w:t>
      </w:r>
    </w:p>
    <w:p w:rsidR="00BC370E" w:rsidRDefault="00BC370E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1395"/>
        <w:gridCol w:w="1218"/>
        <w:gridCol w:w="1420"/>
        <w:gridCol w:w="1446"/>
      </w:tblGrid>
      <w:tr w:rsidR="00D948C0" w:rsidRPr="00D948C0" w:rsidTr="00D948C0">
        <w:trPr>
          <w:trHeight w:val="930"/>
        </w:trPr>
        <w:tc>
          <w:tcPr>
            <w:tcW w:w="328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podle příčin  a usmrcení </w:t>
            </w:r>
            <w:r w:rsidRPr="00D948C0">
              <w:rPr>
                <w:rFonts w:cs="Arial"/>
                <w:sz w:val="16"/>
                <w:szCs w:val="16"/>
              </w:rPr>
              <w:t>(jen řidiči mot.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D948C0">
              <w:rPr>
                <w:rFonts w:cs="Arial"/>
                <w:sz w:val="16"/>
                <w:szCs w:val="16"/>
              </w:rPr>
              <w:t>vozidel), podíl na celkovém počtu</w:t>
            </w:r>
          </w:p>
        </w:tc>
        <w:tc>
          <w:tcPr>
            <w:tcW w:w="11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>podíl na celkovém počtu nehod</w:t>
            </w:r>
          </w:p>
        </w:tc>
        <w:tc>
          <w:tcPr>
            <w:tcW w:w="11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>usmrcených osob</w:t>
            </w:r>
          </w:p>
        </w:tc>
        <w:tc>
          <w:tcPr>
            <w:tcW w:w="11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>podíl na celkovém počtu usmrcených</w:t>
            </w:r>
          </w:p>
        </w:tc>
      </w:tr>
      <w:tr w:rsidR="00D948C0" w:rsidRPr="00D948C0" w:rsidTr="00D948C0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Nepřiměřená rychlost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D948C0">
              <w:rPr>
                <w:rFonts w:cs="Arial"/>
                <w:sz w:val="16"/>
                <w:szCs w:val="16"/>
              </w:rPr>
              <w:t>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9,5</w:t>
            </w:r>
          </w:p>
        </w:tc>
      </w:tr>
      <w:tr w:rsidR="00D948C0" w:rsidRPr="00D948C0" w:rsidTr="00D948C0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Nesprávné předjíždění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0,0</w:t>
            </w:r>
          </w:p>
        </w:tc>
      </w:tr>
      <w:tr w:rsidR="00D948C0" w:rsidRPr="00D948C0" w:rsidTr="00D948C0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Nedání přednosti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D948C0">
              <w:rPr>
                <w:rFonts w:cs="Arial"/>
                <w:sz w:val="16"/>
                <w:szCs w:val="16"/>
              </w:rPr>
              <w:t>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26,4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42,9</w:t>
            </w:r>
          </w:p>
        </w:tc>
      </w:tr>
      <w:tr w:rsidR="00D948C0" w:rsidRPr="00D948C0" w:rsidTr="00D948C0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Nesprávný způsob jízdy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11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D948C0">
              <w:rPr>
                <w:rFonts w:cs="Arial"/>
                <w:sz w:val="16"/>
                <w:szCs w:val="16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47,6</w:t>
            </w:r>
          </w:p>
        </w:tc>
      </w:tr>
    </w:tbl>
    <w:p w:rsidR="00602271" w:rsidRDefault="00602271" w:rsidP="00435680"/>
    <w:p w:rsidR="00602271" w:rsidRDefault="00602271" w:rsidP="00435680"/>
    <w:p w:rsidR="00602271" w:rsidRDefault="00602271" w:rsidP="00435680"/>
    <w:p w:rsidR="006D6DDF" w:rsidRDefault="006D6DDF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2"/>
        <w:gridCol w:w="1315"/>
        <w:gridCol w:w="1314"/>
        <w:gridCol w:w="1314"/>
        <w:gridCol w:w="1314"/>
      </w:tblGrid>
      <w:tr w:rsidR="006D6DDF" w:rsidRPr="006D6DDF" w:rsidTr="006D6DDF">
        <w:trPr>
          <w:trHeight w:val="645"/>
        </w:trPr>
        <w:tc>
          <w:tcPr>
            <w:tcW w:w="320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lastRenderedPageBreak/>
              <w:t xml:space="preserve">Nehody podle příčin </w:t>
            </w:r>
            <w:r w:rsidRPr="006D6DDF">
              <w:rPr>
                <w:rFonts w:cs="Arial"/>
                <w:color w:val="FFFFFF"/>
                <w:sz w:val="16"/>
                <w:szCs w:val="16"/>
              </w:rPr>
              <w:t xml:space="preserve">(jen řidiči </w:t>
            </w:r>
            <w:proofErr w:type="spellStart"/>
            <w:r w:rsidRPr="006D6DDF">
              <w:rPr>
                <w:rFonts w:cs="Arial"/>
                <w:color w:val="FFFFFF"/>
                <w:sz w:val="16"/>
                <w:szCs w:val="16"/>
              </w:rPr>
              <w:t>mot.vozidel</w:t>
            </w:r>
            <w:proofErr w:type="spellEnd"/>
            <w:r w:rsidRPr="006D6DDF">
              <w:rPr>
                <w:rFonts w:cs="Arial"/>
                <w:color w:val="FFFFFF"/>
                <w:sz w:val="16"/>
                <w:szCs w:val="16"/>
              </w:rPr>
              <w:t xml:space="preserve">), usmrcené osoby - 2012; </w:t>
            </w:r>
            <w:r w:rsidRPr="00AD5E45">
              <w:rPr>
                <w:rFonts w:cs="Arial"/>
                <w:sz w:val="16"/>
                <w:szCs w:val="16"/>
              </w:rPr>
              <w:t>porovnání s rokem 2011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rozdíl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tj. v %</w:t>
            </w:r>
          </w:p>
        </w:tc>
      </w:tr>
      <w:tr w:rsidR="006D6DDF" w:rsidRPr="006D6DDF" w:rsidTr="006D6DDF">
        <w:trPr>
          <w:trHeight w:val="402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Nepřiměřená rychlost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-60,0</w:t>
            </w:r>
          </w:p>
        </w:tc>
      </w:tr>
      <w:tr w:rsidR="006D6DDF" w:rsidRPr="006D6DDF" w:rsidTr="006D6DDF">
        <w:trPr>
          <w:trHeight w:val="402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Nesprávné předjíždění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0,0</w:t>
            </w:r>
          </w:p>
        </w:tc>
      </w:tr>
      <w:tr w:rsidR="006D6DDF" w:rsidRPr="006D6DDF" w:rsidTr="006D6DDF">
        <w:trPr>
          <w:trHeight w:val="402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Nedání přednosti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-25,0</w:t>
            </w:r>
          </w:p>
        </w:tc>
      </w:tr>
      <w:tr w:rsidR="006D6DDF" w:rsidRPr="006D6DDF" w:rsidTr="006D6DDF">
        <w:trPr>
          <w:trHeight w:val="402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Nesprávný způsob jízdy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-28,6</w:t>
            </w:r>
          </w:p>
        </w:tc>
      </w:tr>
    </w:tbl>
    <w:p w:rsidR="006D6DDF" w:rsidRDefault="006D6DDF" w:rsidP="00435680"/>
    <w:p w:rsidR="00602271" w:rsidRDefault="00602271" w:rsidP="00435680"/>
    <w:p w:rsidR="00D948C0" w:rsidRDefault="00D948C0" w:rsidP="00D948C0">
      <w:pPr>
        <w:jc w:val="both"/>
      </w:pPr>
      <w:r>
        <w:tab/>
        <w:t xml:space="preserve">Nejnebezpečnější </w:t>
      </w:r>
      <w:r w:rsidR="006D6DDF">
        <w:t>byly</w:t>
      </w:r>
      <w:r>
        <w:t xml:space="preserve"> v roce 2012 nehody zaviněné „nedáním přednosti“, při kterých došlo k usmrcení při každé 501 nehodě, následují nehody zaviněné „nepřiměřenou rychlostí“ (člověk zemřel při každé 609 nehodě) a „nesprávným způsobem jízdy (člověk byl usmrcen při každé 1 129 nehodě). </w:t>
      </w:r>
    </w:p>
    <w:p w:rsidR="00D948C0" w:rsidRDefault="00D948C0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2"/>
        <w:gridCol w:w="1611"/>
        <w:gridCol w:w="1586"/>
        <w:gridCol w:w="1640"/>
      </w:tblGrid>
      <w:tr w:rsidR="00D948C0" w:rsidRPr="00D948C0" w:rsidTr="00D948C0">
        <w:trPr>
          <w:trHeight w:val="1005"/>
        </w:trPr>
        <w:tc>
          <w:tcPr>
            <w:tcW w:w="328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podle příčin  a usmrcení </w:t>
            </w:r>
            <w:r w:rsidRPr="00D948C0">
              <w:rPr>
                <w:rFonts w:cs="Arial"/>
                <w:sz w:val="16"/>
                <w:szCs w:val="16"/>
              </w:rPr>
              <w:t>(jen řidiči motorových vozidel), podíl na celkovém počtu</w:t>
            </w:r>
          </w:p>
        </w:tc>
        <w:tc>
          <w:tcPr>
            <w:tcW w:w="11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>usmrcených osob</w:t>
            </w:r>
          </w:p>
        </w:tc>
        <w:tc>
          <w:tcPr>
            <w:tcW w:w="11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948C0">
              <w:rPr>
                <w:rFonts w:cs="Arial"/>
                <w:b/>
                <w:bCs/>
                <w:color w:val="FFFFFF"/>
                <w:sz w:val="16"/>
                <w:szCs w:val="16"/>
              </w:rPr>
              <w:t>počet nehod na 1 usmrcenou osobu</w:t>
            </w:r>
          </w:p>
        </w:tc>
      </w:tr>
      <w:tr w:rsidR="00D948C0" w:rsidRPr="00D948C0" w:rsidTr="00D948C0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Nepřiměřená rychlost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1 218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609,0</w:t>
            </w:r>
          </w:p>
        </w:tc>
      </w:tr>
      <w:tr w:rsidR="00D948C0" w:rsidRPr="00D948C0" w:rsidTr="00D948C0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Nesprávné předjíždění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0,0</w:t>
            </w:r>
          </w:p>
        </w:tc>
      </w:tr>
      <w:tr w:rsidR="00D948C0" w:rsidRPr="00D948C0" w:rsidTr="00D948C0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Nedání přednosti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4 514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501,6</w:t>
            </w:r>
          </w:p>
        </w:tc>
      </w:tr>
      <w:tr w:rsidR="00D948C0" w:rsidRPr="00D948C0" w:rsidTr="00D948C0">
        <w:trPr>
          <w:trHeight w:val="402"/>
        </w:trPr>
        <w:tc>
          <w:tcPr>
            <w:tcW w:w="328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Nesprávný způsob jízdy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11 290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D948C0" w:rsidRPr="00D948C0" w:rsidRDefault="00D948C0" w:rsidP="00D948C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D948C0">
              <w:rPr>
                <w:rFonts w:cs="Arial"/>
                <w:sz w:val="16"/>
                <w:szCs w:val="16"/>
              </w:rPr>
              <w:t>1</w:t>
            </w:r>
            <w:r w:rsidR="006D6DDF">
              <w:rPr>
                <w:rFonts w:cs="Arial"/>
                <w:sz w:val="16"/>
                <w:szCs w:val="16"/>
              </w:rPr>
              <w:t xml:space="preserve"> </w:t>
            </w:r>
            <w:r w:rsidRPr="00D948C0">
              <w:rPr>
                <w:rFonts w:cs="Arial"/>
                <w:sz w:val="16"/>
                <w:szCs w:val="16"/>
              </w:rPr>
              <w:t>129,0</w:t>
            </w:r>
          </w:p>
        </w:tc>
      </w:tr>
    </w:tbl>
    <w:p w:rsidR="00D948C0" w:rsidRDefault="00D948C0" w:rsidP="00435680"/>
    <w:p w:rsidR="00D948C0" w:rsidRDefault="00D948C0" w:rsidP="00435680"/>
    <w:p w:rsidR="00D948C0" w:rsidRDefault="00D948C0" w:rsidP="00435680"/>
    <w:p w:rsidR="00E321D9" w:rsidRPr="00E321D9" w:rsidRDefault="00E321D9" w:rsidP="00435680">
      <w:pPr>
        <w:rPr>
          <w:b/>
          <w:u w:val="single"/>
        </w:rPr>
      </w:pPr>
      <w:r w:rsidRPr="00E321D9">
        <w:rPr>
          <w:b/>
          <w:u w:val="single"/>
        </w:rPr>
        <w:t>Nehody podle dne v týdnu</w:t>
      </w:r>
    </w:p>
    <w:p w:rsidR="00E321D9" w:rsidRDefault="00E321D9" w:rsidP="00435680"/>
    <w:p w:rsidR="00370952" w:rsidRPr="00370952" w:rsidRDefault="00370952" w:rsidP="00370952">
      <w:pPr>
        <w:ind w:firstLine="708"/>
        <w:jc w:val="both"/>
      </w:pPr>
      <w:r w:rsidRPr="00370952">
        <w:t xml:space="preserve">Nejvíce nehod </w:t>
      </w:r>
      <w:r>
        <w:t>šetřili policisté v roce 201</w:t>
      </w:r>
      <w:r w:rsidR="006D6DDF">
        <w:t>2</w:t>
      </w:r>
      <w:r w:rsidR="002140EF">
        <w:t xml:space="preserve"> ve čtvrtek (</w:t>
      </w:r>
      <w:r w:rsidR="006D6DDF">
        <w:t>stejně jako v roce 2011</w:t>
      </w:r>
      <w:r w:rsidR="002140EF">
        <w:t>)</w:t>
      </w:r>
      <w:r w:rsidRPr="00370952">
        <w:t>, kdy došlo</w:t>
      </w:r>
      <w:r w:rsidR="002140EF">
        <w:t xml:space="preserve"> </w:t>
      </w:r>
      <w:r w:rsidR="006D6DDF">
        <w:br/>
      </w:r>
      <w:r w:rsidRPr="00370952">
        <w:t>k</w:t>
      </w:r>
      <w:r w:rsidR="006D6DDF">
        <w:t xml:space="preserve"> 3 138</w:t>
      </w:r>
      <w:r w:rsidRPr="00370952">
        <w:t xml:space="preserve"> nehodám, nejméně nehod šetřili</w:t>
      </w:r>
      <w:r w:rsidR="002140EF">
        <w:t>, stejně jako v loňském roce</w:t>
      </w:r>
      <w:r w:rsidRPr="00370952">
        <w:t xml:space="preserve"> v neděli (</w:t>
      </w:r>
      <w:r w:rsidR="006D6DDF">
        <w:t>1 556</w:t>
      </w:r>
      <w:r w:rsidRPr="00370952">
        <w:t xml:space="preserve"> nehod). </w:t>
      </w:r>
    </w:p>
    <w:p w:rsidR="006D6DDF" w:rsidRDefault="006D6DDF" w:rsidP="000F1117">
      <w:pPr>
        <w:ind w:firstLine="708"/>
        <w:jc w:val="both"/>
      </w:pPr>
      <w:r>
        <w:t>Největší m</w:t>
      </w:r>
      <w:r w:rsidR="00370952" w:rsidRPr="00370952">
        <w:t xml:space="preserve">eziroční </w:t>
      </w:r>
      <w:r w:rsidR="00370952">
        <w:t>nárůst</w:t>
      </w:r>
      <w:r w:rsidR="00370952" w:rsidRPr="00370952">
        <w:t xml:space="preserve"> nehod zaznamenáváme </w:t>
      </w:r>
      <w:r w:rsidR="002140EF">
        <w:t>ve</w:t>
      </w:r>
      <w:r w:rsidR="00370952">
        <w:t> </w:t>
      </w:r>
      <w:r w:rsidR="002140EF">
        <w:t>čtvrtek</w:t>
      </w:r>
      <w:r w:rsidR="00370952">
        <w:t xml:space="preserve"> (o </w:t>
      </w:r>
      <w:r>
        <w:t>11,3</w:t>
      </w:r>
      <w:r w:rsidR="002140EF">
        <w:t xml:space="preserve"> </w:t>
      </w:r>
      <w:r w:rsidR="00370952">
        <w:t>%)</w:t>
      </w:r>
      <w:r w:rsidR="00370952" w:rsidRPr="00370952">
        <w:t xml:space="preserve">, </w:t>
      </w:r>
      <w:r>
        <w:t>pokles naopak u nehod, ke kterým došlo v pondělí (o 0,3 %).</w:t>
      </w:r>
      <w:r w:rsidR="002140EF">
        <w:t xml:space="preserve"> </w:t>
      </w:r>
    </w:p>
    <w:p w:rsidR="006D6DDF" w:rsidRDefault="006D6DDF" w:rsidP="000F1117">
      <w:pPr>
        <w:ind w:firstLine="708"/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8"/>
        <w:gridCol w:w="1357"/>
        <w:gridCol w:w="1329"/>
        <w:gridCol w:w="1583"/>
        <w:gridCol w:w="1922"/>
      </w:tblGrid>
      <w:tr w:rsidR="006D6DDF" w:rsidRPr="006D6DDF" w:rsidTr="006D6DDF">
        <w:trPr>
          <w:trHeight w:val="600"/>
        </w:trPr>
        <w:tc>
          <w:tcPr>
            <w:tcW w:w="244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podle dne v týdnu - 2012; </w:t>
            </w:r>
            <w:r w:rsidRPr="006D6DDF">
              <w:rPr>
                <w:rFonts w:cs="Arial"/>
                <w:color w:val="FFFFFF"/>
                <w:sz w:val="16"/>
                <w:szCs w:val="16"/>
              </w:rPr>
              <w:t>porovnání s rokem 2011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9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  <w:tc>
          <w:tcPr>
            <w:tcW w:w="11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rozdíl</w:t>
            </w:r>
          </w:p>
        </w:tc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tj. v %</w:t>
            </w:r>
          </w:p>
        </w:tc>
      </w:tr>
      <w:tr w:rsidR="006D6DDF" w:rsidRPr="006D6DDF" w:rsidTr="006D6DDF">
        <w:trPr>
          <w:trHeight w:val="330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Pondělí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2 735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2 727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-0,3</w:t>
            </w:r>
          </w:p>
        </w:tc>
      </w:tr>
      <w:tr w:rsidR="006D6DDF" w:rsidRPr="006D6DDF" w:rsidTr="006D6DDF">
        <w:trPr>
          <w:trHeight w:val="330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Úterý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2 637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2 754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4,4</w:t>
            </w:r>
          </w:p>
        </w:tc>
      </w:tr>
      <w:tr w:rsidR="006D6DDF" w:rsidRPr="006D6DDF" w:rsidTr="006D6DDF">
        <w:trPr>
          <w:trHeight w:val="330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Středa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2 831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3 002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6,0</w:t>
            </w:r>
          </w:p>
        </w:tc>
      </w:tr>
      <w:tr w:rsidR="006D6DDF" w:rsidRPr="006D6DDF" w:rsidTr="006D6DDF">
        <w:trPr>
          <w:trHeight w:val="330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Čtvrtek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2 855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3 138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9,9</w:t>
            </w:r>
          </w:p>
        </w:tc>
      </w:tr>
      <w:tr w:rsidR="006D6DDF" w:rsidRPr="006D6DDF" w:rsidTr="006D6DDF">
        <w:trPr>
          <w:trHeight w:val="330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Pátek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2 638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2 936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11,3</w:t>
            </w:r>
          </w:p>
        </w:tc>
      </w:tr>
      <w:tr w:rsidR="006D6DDF" w:rsidRPr="006D6DDF" w:rsidTr="006D6DDF">
        <w:trPr>
          <w:trHeight w:val="330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Sobota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1 523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1 682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10,4</w:t>
            </w:r>
          </w:p>
        </w:tc>
      </w:tr>
      <w:tr w:rsidR="006D6DDF" w:rsidRPr="006D6DDF" w:rsidTr="006D6DDF">
        <w:trPr>
          <w:trHeight w:val="330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Neděle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1 353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1 556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15,0</w:t>
            </w:r>
          </w:p>
        </w:tc>
      </w:tr>
    </w:tbl>
    <w:p w:rsidR="006D6DDF" w:rsidRDefault="006D6DDF" w:rsidP="006D6DDF">
      <w:pPr>
        <w:jc w:val="both"/>
      </w:pPr>
    </w:p>
    <w:p w:rsidR="006D6DDF" w:rsidRDefault="006D6DDF" w:rsidP="006D6DDF">
      <w:pPr>
        <w:ind w:firstLine="708"/>
        <w:jc w:val="both"/>
      </w:pPr>
      <w:r>
        <w:t xml:space="preserve">Pokles počtu usmrcených osob byl v roce 2012 nejvyšší u nehod ve středu, kdy byly při nehodách usmrceny 2 osoby (pokles o 6 osob), pokles zaznamenáváme i u nehod v úterý (- 4 osoby), v pondělí a v neděli (-2 nehody) a ve čtvrtek (-1 osoba). Nejméně osob bylo usmrceno při nehodách v neděli (1 osoba). Nárůst počtu usmrcených osob byl u nehod v pátek a sobotu (o 1 osobu). </w:t>
      </w:r>
    </w:p>
    <w:p w:rsidR="006D6DDF" w:rsidRDefault="006D6DDF" w:rsidP="006D6DDF">
      <w:pPr>
        <w:jc w:val="both"/>
      </w:pPr>
    </w:p>
    <w:p w:rsidR="006D6DDF" w:rsidRDefault="006D6DDF" w:rsidP="006D6DDF">
      <w:pPr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8"/>
        <w:gridCol w:w="1357"/>
        <w:gridCol w:w="1329"/>
        <w:gridCol w:w="1583"/>
        <w:gridCol w:w="1922"/>
      </w:tblGrid>
      <w:tr w:rsidR="006D6DDF" w:rsidRPr="006D6DDF" w:rsidTr="006D6DDF">
        <w:trPr>
          <w:trHeight w:val="675"/>
        </w:trPr>
        <w:tc>
          <w:tcPr>
            <w:tcW w:w="244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lastRenderedPageBreak/>
              <w:t xml:space="preserve">Nehody podle dne v týdnu - usmrcené osoby - 2012; </w:t>
            </w:r>
            <w:r w:rsidRPr="006D6DDF">
              <w:rPr>
                <w:rFonts w:cs="Arial"/>
                <w:color w:val="FFFFFF"/>
                <w:sz w:val="16"/>
                <w:szCs w:val="16"/>
              </w:rPr>
              <w:t>porovnání s rokem 2011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9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  <w:tc>
          <w:tcPr>
            <w:tcW w:w="112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rozdíl</w:t>
            </w:r>
          </w:p>
        </w:tc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6D6DDF">
              <w:rPr>
                <w:rFonts w:cs="Arial"/>
                <w:b/>
                <w:bCs/>
                <w:color w:val="FFFFFF"/>
                <w:sz w:val="16"/>
                <w:szCs w:val="16"/>
              </w:rPr>
              <w:t>tj. v %</w:t>
            </w:r>
          </w:p>
        </w:tc>
      </w:tr>
      <w:tr w:rsidR="006D6DDF" w:rsidRPr="006D6DDF" w:rsidTr="006D6DDF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Pondělí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-33,3</w:t>
            </w:r>
          </w:p>
        </w:tc>
      </w:tr>
      <w:tr w:rsidR="006D6DDF" w:rsidRPr="006D6DDF" w:rsidTr="006D6DDF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Úterý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-57,1</w:t>
            </w:r>
          </w:p>
        </w:tc>
      </w:tr>
      <w:tr w:rsidR="006D6DDF" w:rsidRPr="006D6DDF" w:rsidTr="006D6DDF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Středa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-75,0</w:t>
            </w:r>
          </w:p>
        </w:tc>
      </w:tr>
      <w:tr w:rsidR="006D6DDF" w:rsidRPr="006D6DDF" w:rsidTr="006D6DDF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Čtvrtek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-20,0</w:t>
            </w:r>
          </w:p>
        </w:tc>
      </w:tr>
      <w:tr w:rsidR="006D6DDF" w:rsidRPr="006D6DDF" w:rsidTr="006D6DDF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Pátek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25,0</w:t>
            </w:r>
          </w:p>
        </w:tc>
      </w:tr>
      <w:tr w:rsidR="006D6DDF" w:rsidRPr="006D6DDF" w:rsidTr="006D6DDF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Sobota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16,7</w:t>
            </w:r>
          </w:p>
        </w:tc>
      </w:tr>
      <w:tr w:rsidR="006D6DDF" w:rsidRPr="006D6DDF" w:rsidTr="006D6DDF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Neděle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6D6DDF" w:rsidRPr="006D6DDF" w:rsidRDefault="006D6DDF" w:rsidP="006D6DDF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6D6DDF">
              <w:rPr>
                <w:rFonts w:cs="Arial"/>
                <w:sz w:val="16"/>
                <w:szCs w:val="16"/>
              </w:rPr>
              <w:t>-66,7</w:t>
            </w:r>
          </w:p>
        </w:tc>
      </w:tr>
    </w:tbl>
    <w:p w:rsidR="006D6DDF" w:rsidRDefault="006D6DDF" w:rsidP="006D6DDF">
      <w:pPr>
        <w:jc w:val="both"/>
      </w:pPr>
    </w:p>
    <w:p w:rsidR="00FC71B4" w:rsidRDefault="00FC71B4" w:rsidP="000F1117">
      <w:pPr>
        <w:ind w:firstLine="708"/>
        <w:jc w:val="both"/>
      </w:pPr>
    </w:p>
    <w:p w:rsidR="002140EF" w:rsidRPr="002140EF" w:rsidRDefault="006D6DDF" w:rsidP="002140EF">
      <w:pPr>
        <w:spacing w:after="200" w:line="276" w:lineRule="auto"/>
        <w:ind w:firstLine="708"/>
        <w:jc w:val="both"/>
        <w:rPr>
          <w:rFonts w:eastAsiaTheme="minorHAnsi" w:cs="Arial"/>
          <w:szCs w:val="22"/>
          <w:lang w:eastAsia="en-US"/>
        </w:rPr>
      </w:pPr>
      <w:r>
        <w:rPr>
          <w:rFonts w:eastAsiaTheme="minorHAnsi" w:cs="Arial"/>
          <w:szCs w:val="22"/>
          <w:lang w:eastAsia="en-US"/>
        </w:rPr>
        <w:t>N</w:t>
      </w:r>
      <w:r w:rsidR="002140EF" w:rsidRPr="002140EF">
        <w:rPr>
          <w:rFonts w:eastAsiaTheme="minorHAnsi" w:cs="Arial"/>
          <w:szCs w:val="22"/>
          <w:lang w:eastAsia="en-US"/>
        </w:rPr>
        <w:t xml:space="preserve">ápad dopravních nehod kopíruje rozložení z roku </w:t>
      </w:r>
      <w:r w:rsidR="002251B6">
        <w:rPr>
          <w:rFonts w:eastAsiaTheme="minorHAnsi" w:cs="Arial"/>
          <w:szCs w:val="22"/>
          <w:lang w:eastAsia="en-US"/>
        </w:rPr>
        <w:t>2010</w:t>
      </w:r>
      <w:r w:rsidR="00BF6827">
        <w:rPr>
          <w:rFonts w:eastAsiaTheme="minorHAnsi" w:cs="Arial"/>
          <w:szCs w:val="22"/>
          <w:lang w:eastAsia="en-US"/>
        </w:rPr>
        <w:t xml:space="preserve"> i 2011</w:t>
      </w:r>
      <w:r w:rsidR="002140EF" w:rsidRPr="002140EF">
        <w:rPr>
          <w:rFonts w:eastAsiaTheme="minorHAnsi" w:cs="Arial"/>
          <w:szCs w:val="22"/>
          <w:lang w:eastAsia="en-US"/>
        </w:rPr>
        <w:t>. Nejvíce nehod šetřili policisté v </w:t>
      </w:r>
      <w:r w:rsidR="002140EF" w:rsidRPr="002140EF">
        <w:rPr>
          <w:rFonts w:eastAsiaTheme="minorHAnsi" w:cs="Arial"/>
          <w:b/>
          <w:szCs w:val="22"/>
          <w:lang w:eastAsia="en-US"/>
        </w:rPr>
        <w:t>ranní špičce mezi 8. – 10. hodinou</w:t>
      </w:r>
      <w:r w:rsidR="002140EF" w:rsidRPr="002140EF">
        <w:rPr>
          <w:rFonts w:eastAsiaTheme="minorHAnsi" w:cs="Arial"/>
          <w:szCs w:val="22"/>
          <w:lang w:eastAsia="en-US"/>
        </w:rPr>
        <w:t xml:space="preserve"> (8:00 – 9:00 hodin </w:t>
      </w:r>
      <w:r w:rsidR="00BF6827">
        <w:rPr>
          <w:rFonts w:eastAsiaTheme="minorHAnsi" w:cs="Arial"/>
          <w:szCs w:val="22"/>
          <w:lang w:eastAsia="en-US"/>
        </w:rPr>
        <w:t>1 134</w:t>
      </w:r>
      <w:r w:rsidR="002140EF" w:rsidRPr="002140EF">
        <w:rPr>
          <w:rFonts w:eastAsiaTheme="minorHAnsi" w:cs="Arial"/>
          <w:szCs w:val="22"/>
          <w:lang w:eastAsia="en-US"/>
        </w:rPr>
        <w:t xml:space="preserve"> nehod a 9:00 - 10:00 hodin </w:t>
      </w:r>
      <w:r w:rsidR="00BF6827">
        <w:rPr>
          <w:rFonts w:eastAsiaTheme="minorHAnsi" w:cs="Arial"/>
          <w:szCs w:val="22"/>
          <w:lang w:eastAsia="en-US"/>
        </w:rPr>
        <w:t>1 023</w:t>
      </w:r>
      <w:r w:rsidR="002140EF" w:rsidRPr="002140EF">
        <w:rPr>
          <w:rFonts w:eastAsiaTheme="minorHAnsi" w:cs="Arial"/>
          <w:szCs w:val="22"/>
          <w:lang w:eastAsia="en-US"/>
        </w:rPr>
        <w:t xml:space="preserve"> nehod)) a </w:t>
      </w:r>
      <w:r w:rsidR="002140EF" w:rsidRPr="002140EF">
        <w:rPr>
          <w:rFonts w:eastAsiaTheme="minorHAnsi" w:cs="Arial"/>
          <w:b/>
          <w:szCs w:val="22"/>
          <w:lang w:eastAsia="en-US"/>
        </w:rPr>
        <w:t>v odpolední špičce mezi 1</w:t>
      </w:r>
      <w:r w:rsidR="002251B6">
        <w:rPr>
          <w:rFonts w:eastAsiaTheme="minorHAnsi" w:cs="Arial"/>
          <w:b/>
          <w:szCs w:val="22"/>
          <w:lang w:eastAsia="en-US"/>
        </w:rPr>
        <w:t>6</w:t>
      </w:r>
      <w:r w:rsidR="002140EF" w:rsidRPr="002140EF">
        <w:rPr>
          <w:rFonts w:eastAsiaTheme="minorHAnsi" w:cs="Arial"/>
          <w:b/>
          <w:szCs w:val="22"/>
          <w:lang w:eastAsia="en-US"/>
        </w:rPr>
        <w:t>. – 18. hodinou</w:t>
      </w:r>
      <w:r w:rsidR="002140EF" w:rsidRPr="002140EF">
        <w:rPr>
          <w:rFonts w:eastAsiaTheme="minorHAnsi" w:cs="Arial"/>
          <w:szCs w:val="22"/>
          <w:lang w:eastAsia="en-US"/>
        </w:rPr>
        <w:t xml:space="preserve"> (16:00 – 17:00 hodin </w:t>
      </w:r>
      <w:r w:rsidR="00BF6827">
        <w:rPr>
          <w:rFonts w:eastAsiaTheme="minorHAnsi" w:cs="Arial"/>
          <w:szCs w:val="22"/>
          <w:lang w:eastAsia="en-US"/>
        </w:rPr>
        <w:t>1 223</w:t>
      </w:r>
      <w:r w:rsidR="002251B6">
        <w:rPr>
          <w:rFonts w:eastAsiaTheme="minorHAnsi" w:cs="Arial"/>
          <w:szCs w:val="22"/>
          <w:lang w:eastAsia="en-US"/>
        </w:rPr>
        <w:t xml:space="preserve"> </w:t>
      </w:r>
      <w:r w:rsidR="002140EF" w:rsidRPr="002140EF">
        <w:rPr>
          <w:rFonts w:eastAsiaTheme="minorHAnsi" w:cs="Arial"/>
          <w:szCs w:val="22"/>
          <w:lang w:eastAsia="en-US"/>
        </w:rPr>
        <w:t xml:space="preserve">nehod a 17:00 – 18:00 hodin </w:t>
      </w:r>
      <w:r w:rsidR="00BF6827">
        <w:rPr>
          <w:rFonts w:eastAsiaTheme="minorHAnsi" w:cs="Arial"/>
          <w:szCs w:val="22"/>
          <w:lang w:eastAsia="en-US"/>
        </w:rPr>
        <w:t>1 174</w:t>
      </w:r>
      <w:r w:rsidR="002140EF" w:rsidRPr="002140EF">
        <w:rPr>
          <w:rFonts w:eastAsiaTheme="minorHAnsi" w:cs="Arial"/>
          <w:szCs w:val="22"/>
          <w:lang w:eastAsia="en-US"/>
        </w:rPr>
        <w:t xml:space="preserve"> nehod). </w:t>
      </w:r>
    </w:p>
    <w:p w:rsidR="002140EF" w:rsidRDefault="002140EF" w:rsidP="002251B6">
      <w:pPr>
        <w:ind w:firstLine="708"/>
        <w:jc w:val="both"/>
      </w:pPr>
      <w:r w:rsidRPr="002140EF">
        <w:rPr>
          <w:rFonts w:eastAsiaTheme="minorHAnsi" w:cs="Arial"/>
          <w:szCs w:val="22"/>
          <w:lang w:eastAsia="en-US"/>
        </w:rPr>
        <w:t xml:space="preserve">Vůbec nejvíce nehod v jedné hodině šetřili policisté v době od </w:t>
      </w:r>
      <w:r w:rsidR="002251B6">
        <w:rPr>
          <w:rFonts w:eastAsiaTheme="minorHAnsi" w:cs="Arial"/>
          <w:szCs w:val="22"/>
          <w:lang w:eastAsia="en-US"/>
        </w:rPr>
        <w:t>16</w:t>
      </w:r>
      <w:r w:rsidRPr="002140EF">
        <w:rPr>
          <w:rFonts w:eastAsiaTheme="minorHAnsi" w:cs="Arial"/>
          <w:szCs w:val="22"/>
          <w:lang w:eastAsia="en-US"/>
        </w:rPr>
        <w:t xml:space="preserve">:00 </w:t>
      </w:r>
      <w:r w:rsidR="002251B6">
        <w:rPr>
          <w:rFonts w:eastAsiaTheme="minorHAnsi" w:cs="Arial"/>
          <w:szCs w:val="22"/>
          <w:lang w:eastAsia="en-US"/>
        </w:rPr>
        <w:t>do</w:t>
      </w:r>
      <w:r w:rsidRPr="002140EF">
        <w:rPr>
          <w:rFonts w:eastAsiaTheme="minorHAnsi" w:cs="Arial"/>
          <w:szCs w:val="22"/>
          <w:lang w:eastAsia="en-US"/>
        </w:rPr>
        <w:t xml:space="preserve"> 1</w:t>
      </w:r>
      <w:r w:rsidR="002251B6">
        <w:rPr>
          <w:rFonts w:eastAsiaTheme="minorHAnsi" w:cs="Arial"/>
          <w:szCs w:val="22"/>
          <w:lang w:eastAsia="en-US"/>
        </w:rPr>
        <w:t>7</w:t>
      </w:r>
      <w:r w:rsidRPr="002140EF">
        <w:rPr>
          <w:rFonts w:eastAsiaTheme="minorHAnsi" w:cs="Arial"/>
          <w:szCs w:val="22"/>
          <w:lang w:eastAsia="en-US"/>
        </w:rPr>
        <w:t>:00 hodin</w:t>
      </w:r>
      <w:r w:rsidR="00BF6827">
        <w:rPr>
          <w:rFonts w:eastAsiaTheme="minorHAnsi" w:cs="Arial"/>
          <w:szCs w:val="22"/>
          <w:lang w:eastAsia="en-US"/>
        </w:rPr>
        <w:t>, stejně jako v loňském roce</w:t>
      </w:r>
      <w:r w:rsidRPr="002140EF">
        <w:rPr>
          <w:rFonts w:eastAsiaTheme="minorHAnsi" w:cs="Arial"/>
          <w:szCs w:val="22"/>
          <w:lang w:eastAsia="en-US"/>
        </w:rPr>
        <w:t>, kdy došlo k</w:t>
      </w:r>
      <w:r w:rsidR="00BF6827">
        <w:rPr>
          <w:rFonts w:eastAsiaTheme="minorHAnsi" w:cs="Arial"/>
          <w:szCs w:val="22"/>
          <w:lang w:eastAsia="en-US"/>
        </w:rPr>
        <w:t> </w:t>
      </w:r>
      <w:r w:rsidRPr="002140EF">
        <w:rPr>
          <w:rFonts w:eastAsiaTheme="minorHAnsi" w:cs="Arial"/>
          <w:szCs w:val="22"/>
          <w:lang w:eastAsia="en-US"/>
        </w:rPr>
        <w:t>1</w:t>
      </w:r>
      <w:r w:rsidR="00BF6827">
        <w:rPr>
          <w:rFonts w:eastAsiaTheme="minorHAnsi" w:cs="Arial"/>
          <w:szCs w:val="22"/>
          <w:lang w:eastAsia="en-US"/>
        </w:rPr>
        <w:t xml:space="preserve"> 223</w:t>
      </w:r>
      <w:r w:rsidRPr="002140EF">
        <w:rPr>
          <w:rFonts w:eastAsiaTheme="minorHAnsi" w:cs="Arial"/>
          <w:szCs w:val="22"/>
          <w:lang w:eastAsia="en-US"/>
        </w:rPr>
        <w:t xml:space="preserve"> nehodám</w:t>
      </w:r>
      <w:r w:rsidR="00BF6827">
        <w:rPr>
          <w:rFonts w:eastAsiaTheme="minorHAnsi" w:cs="Arial"/>
          <w:szCs w:val="22"/>
          <w:lang w:eastAsia="en-US"/>
        </w:rPr>
        <w:t>. Oproti roku 2011 zaznamenáváme zvýšení počtu dopravních nehod právě v době ranní i odpolední špičky.</w:t>
      </w:r>
      <w:r w:rsidRPr="002140EF">
        <w:rPr>
          <w:rFonts w:eastAsiaTheme="minorHAnsi" w:cs="Arial"/>
          <w:szCs w:val="22"/>
          <w:lang w:eastAsia="en-US"/>
        </w:rPr>
        <w:t xml:space="preserve"> </w:t>
      </w:r>
    </w:p>
    <w:p w:rsidR="002140EF" w:rsidRDefault="002140EF" w:rsidP="00435680"/>
    <w:p w:rsidR="002140EF" w:rsidRDefault="002140EF" w:rsidP="00435680"/>
    <w:p w:rsidR="002140EF" w:rsidRDefault="00BF6827" w:rsidP="00435680">
      <w:r>
        <w:rPr>
          <w:noProof/>
        </w:rPr>
        <w:drawing>
          <wp:inline distT="0" distB="0" distL="0" distR="0" wp14:anchorId="7F33DAAA" wp14:editId="7BF20C4D">
            <wp:extent cx="6096000" cy="3810000"/>
            <wp:effectExtent l="38100" t="38100" r="95250" b="95250"/>
            <wp:docPr id="33" name="Graf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140EF" w:rsidRDefault="002140EF" w:rsidP="00435680"/>
    <w:p w:rsidR="002140EF" w:rsidRDefault="002140EF" w:rsidP="00435680"/>
    <w:p w:rsidR="00FC71B4" w:rsidRDefault="00FC71B4">
      <w:pPr>
        <w:spacing w:line="240" w:lineRule="auto"/>
        <w:rPr>
          <w:b/>
          <w:u w:val="single"/>
        </w:rPr>
      </w:pPr>
      <w:r>
        <w:rPr>
          <w:b/>
          <w:u w:val="single"/>
        </w:rPr>
        <w:br w:type="page"/>
      </w:r>
    </w:p>
    <w:p w:rsidR="002140EF" w:rsidRPr="00C45BFA" w:rsidRDefault="00C45BFA" w:rsidP="00435680">
      <w:pPr>
        <w:rPr>
          <w:b/>
          <w:u w:val="single"/>
        </w:rPr>
      </w:pPr>
      <w:r w:rsidRPr="00C45BFA">
        <w:rPr>
          <w:b/>
          <w:u w:val="single"/>
        </w:rPr>
        <w:lastRenderedPageBreak/>
        <w:t>Místa a úseky s největším počtem nehod</w:t>
      </w:r>
    </w:p>
    <w:p w:rsidR="002140EF" w:rsidRDefault="002140EF" w:rsidP="00435680"/>
    <w:p w:rsidR="00C45BFA" w:rsidRDefault="00C45BFA" w:rsidP="00435680"/>
    <w:p w:rsidR="00C45BFA" w:rsidRDefault="00C45BFA" w:rsidP="00C45BFA">
      <w:pPr>
        <w:jc w:val="both"/>
      </w:pPr>
      <w:r>
        <w:tab/>
        <w:t xml:space="preserve">Největší počet dopravních nehod v úseku (tj. na sledované komunikaci v úseku mezi jednotlivými uzlovými křižovatkami) se stal na ulici Jižní Spojka v úseku mezi ulicemi </w:t>
      </w:r>
      <w:r w:rsidR="00B07E16">
        <w:t>V Korytech - Chodovská</w:t>
      </w:r>
      <w:r>
        <w:t>. Došlo zde k 7</w:t>
      </w:r>
      <w:r w:rsidR="00B07E16">
        <w:t>0</w:t>
      </w:r>
      <w:r>
        <w:t xml:space="preserve"> nehodám. Následují další rychlostní komunikace </w:t>
      </w:r>
      <w:r w:rsidR="00B07E16">
        <w:t xml:space="preserve">Jižní Spojka od ulice Průběžná po ulici Průmyslová, Štěrboholská radiála od ulice Průmyslová po ulici Národních hrdinů a </w:t>
      </w:r>
      <w:r>
        <w:t>Pražský okruh (Novořeporyjská) v úseku od ulic</w:t>
      </w:r>
      <w:r w:rsidR="00B07E16">
        <w:t>e Ořešská po ulici K Barrandovu.</w:t>
      </w:r>
    </w:p>
    <w:p w:rsidR="00C45BFA" w:rsidRDefault="00C45BFA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8"/>
        <w:gridCol w:w="1085"/>
        <w:gridCol w:w="1043"/>
        <w:gridCol w:w="1043"/>
        <w:gridCol w:w="1106"/>
        <w:gridCol w:w="1064"/>
      </w:tblGrid>
      <w:tr w:rsidR="00B07E16" w:rsidRPr="00B07E16" w:rsidTr="00B07E16">
        <w:trPr>
          <w:trHeight w:val="465"/>
        </w:trPr>
        <w:tc>
          <w:tcPr>
            <w:tcW w:w="412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07E16">
              <w:rPr>
                <w:rFonts w:cs="Arial"/>
                <w:b/>
                <w:bCs/>
                <w:color w:val="FFFFFF"/>
                <w:sz w:val="16"/>
                <w:szCs w:val="16"/>
              </w:rPr>
              <w:t>Úseky s největším počtem nehod; 2012</w:t>
            </w:r>
          </w:p>
        </w:tc>
        <w:tc>
          <w:tcPr>
            <w:tcW w:w="104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07E16">
              <w:rPr>
                <w:rFonts w:cs="Arial"/>
                <w:b/>
                <w:bCs/>
                <w:color w:val="FFFFFF"/>
                <w:sz w:val="16"/>
                <w:szCs w:val="16"/>
              </w:rPr>
              <w:t>uzel</w:t>
            </w:r>
          </w:p>
        </w:tc>
        <w:tc>
          <w:tcPr>
            <w:tcW w:w="100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07E16">
              <w:rPr>
                <w:rFonts w:cs="Arial"/>
                <w:b/>
                <w:bCs/>
                <w:color w:val="FFFFFF"/>
                <w:sz w:val="16"/>
                <w:szCs w:val="16"/>
              </w:rPr>
              <w:t>celkem nehod</w:t>
            </w:r>
          </w:p>
        </w:tc>
        <w:tc>
          <w:tcPr>
            <w:tcW w:w="308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948A5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07E16">
              <w:rPr>
                <w:rFonts w:cs="Arial"/>
                <w:b/>
                <w:bCs/>
                <w:color w:val="FFFFFF"/>
                <w:sz w:val="16"/>
                <w:szCs w:val="16"/>
              </w:rPr>
              <w:t>Následky</w:t>
            </w:r>
          </w:p>
        </w:tc>
      </w:tr>
      <w:tr w:rsidR="00B07E16" w:rsidRPr="00B07E16" w:rsidTr="00B07E16">
        <w:trPr>
          <w:trHeight w:val="450"/>
        </w:trPr>
        <w:tc>
          <w:tcPr>
            <w:tcW w:w="412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07E16">
              <w:rPr>
                <w:rFonts w:cs="Arial"/>
                <w:b/>
                <w:bCs/>
                <w:color w:val="FFFFFF"/>
                <w:sz w:val="16"/>
                <w:szCs w:val="16"/>
              </w:rPr>
              <w:t>usmrceno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07E16">
              <w:rPr>
                <w:rFonts w:cs="Arial"/>
                <w:b/>
                <w:bCs/>
                <w:color w:val="FFFFFF"/>
                <w:sz w:val="16"/>
                <w:szCs w:val="16"/>
              </w:rPr>
              <w:t>těžce zraněno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07E16">
              <w:rPr>
                <w:rFonts w:cs="Arial"/>
                <w:b/>
                <w:bCs/>
                <w:color w:val="FFFFFF"/>
                <w:sz w:val="16"/>
                <w:szCs w:val="16"/>
              </w:rPr>
              <w:t>lehce zraněno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Jižní Spojka od ulice V Korytech po ulici Chodovská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0065-4096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4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Jižní Spojka od ulice Průběžná po ulici Průmyslová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0064-0082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5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Štěrboholská od ulice Průmyslová po ulici Národních Hrdinů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0082-0083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1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Novořeporyjská od ulice Ořešská po ulici K Barrandovu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5064-5101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9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Novořeporyjská od ulice Ořešská po odbočení na Třebonice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5064-5076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7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proofErr w:type="spellStart"/>
            <w:r w:rsidRPr="00B07E16">
              <w:rPr>
                <w:rFonts w:cs="Arial"/>
                <w:sz w:val="16"/>
                <w:szCs w:val="16"/>
              </w:rPr>
              <w:t>Kukulova</w:t>
            </w:r>
            <w:proofErr w:type="spellEnd"/>
            <w:r w:rsidRPr="00B07E16">
              <w:rPr>
                <w:rFonts w:cs="Arial"/>
                <w:sz w:val="16"/>
                <w:szCs w:val="16"/>
              </w:rPr>
              <w:t xml:space="preserve"> od ulice Plzeňská po ulici Podbělohorskou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5024-6032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15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 xml:space="preserve">Kbelská od ulice Kolbenova po ulici Nad </w:t>
            </w:r>
            <w:proofErr w:type="spellStart"/>
            <w:r w:rsidRPr="00B07E16">
              <w:rPr>
                <w:rFonts w:cs="Arial"/>
                <w:sz w:val="16"/>
                <w:szCs w:val="16"/>
              </w:rPr>
              <w:t>Klíčovem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9026-9027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Křížovnická od ulice Kaprova po Smetanovo nábřeží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1012-1013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4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Bělehradská od ulice Rumunská po ulici Otakarova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2012-4001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2</w:t>
            </w:r>
          </w:p>
        </w:tc>
      </w:tr>
      <w:tr w:rsidR="00B07E16" w:rsidRPr="00B07E16" w:rsidTr="00B07E16">
        <w:trPr>
          <w:trHeight w:val="439"/>
        </w:trPr>
        <w:tc>
          <w:tcPr>
            <w:tcW w:w="4120" w:type="dxa"/>
            <w:tcBorders>
              <w:top w:val="single" w:sz="4" w:space="0" w:color="4F6228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Hlávkův most od ulice Klimentská po Bubenské nábřeží</w:t>
            </w:r>
          </w:p>
        </w:tc>
        <w:tc>
          <w:tcPr>
            <w:tcW w:w="104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1043-7027</w:t>
            </w:r>
          </w:p>
        </w:tc>
        <w:tc>
          <w:tcPr>
            <w:tcW w:w="100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00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B07E16" w:rsidRPr="00B07E16" w:rsidRDefault="00B07E16" w:rsidP="00B07E1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07E16">
              <w:rPr>
                <w:rFonts w:cs="Arial"/>
                <w:sz w:val="16"/>
                <w:szCs w:val="16"/>
              </w:rPr>
              <w:t>4</w:t>
            </w:r>
          </w:p>
        </w:tc>
      </w:tr>
    </w:tbl>
    <w:p w:rsidR="00B07E16" w:rsidRDefault="00B07E16" w:rsidP="00435680"/>
    <w:p w:rsidR="00C45BFA" w:rsidRDefault="00C45BFA" w:rsidP="00435680"/>
    <w:p w:rsidR="00C45BFA" w:rsidRDefault="00C45BFA" w:rsidP="00435680">
      <w:r>
        <w:tab/>
        <w:t>Křižovatkou s největším počtem nehod je křižovatka ulic Evropská – Drnovská, kde došlo v roce 201</w:t>
      </w:r>
      <w:r w:rsidR="001E2E5C">
        <w:t>2</w:t>
      </w:r>
      <w:r>
        <w:t xml:space="preserve"> k</w:t>
      </w:r>
      <w:r w:rsidR="001E2E5C">
        <w:t> 51 nehodě</w:t>
      </w:r>
      <w:r>
        <w:t xml:space="preserve">, mezi další patří křižovatka ulic </w:t>
      </w:r>
      <w:r w:rsidR="001E2E5C">
        <w:t xml:space="preserve">Pod Chodovem – Ryšavého, </w:t>
      </w:r>
      <w:r>
        <w:t xml:space="preserve">Sokolská – </w:t>
      </w:r>
      <w:r w:rsidR="001E2E5C">
        <w:br/>
      </w:r>
      <w:r>
        <w:t xml:space="preserve">I. P. Pavlova nebo </w:t>
      </w:r>
      <w:r w:rsidR="001E2E5C">
        <w:t>Jižní Spojka - Chodovská</w:t>
      </w:r>
      <w:r>
        <w:t>.</w:t>
      </w:r>
    </w:p>
    <w:p w:rsidR="001E2E5C" w:rsidRDefault="001E2E5C" w:rsidP="00435680"/>
    <w:p w:rsidR="00AD5E45" w:rsidRDefault="00AD5E45" w:rsidP="00435680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8"/>
        <w:gridCol w:w="1085"/>
        <w:gridCol w:w="1043"/>
        <w:gridCol w:w="1043"/>
        <w:gridCol w:w="1106"/>
        <w:gridCol w:w="1064"/>
      </w:tblGrid>
      <w:tr w:rsidR="001E2E5C" w:rsidRPr="001E2E5C" w:rsidTr="007E5E5F">
        <w:trPr>
          <w:trHeight w:val="390"/>
        </w:trPr>
        <w:tc>
          <w:tcPr>
            <w:tcW w:w="412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1E2E5C">
              <w:rPr>
                <w:rFonts w:cs="Arial"/>
                <w:b/>
                <w:bCs/>
                <w:color w:val="FFFFFF"/>
                <w:sz w:val="16"/>
                <w:szCs w:val="16"/>
              </w:rPr>
              <w:t>Křižovatky s největším počtem nehod; 2012</w:t>
            </w:r>
          </w:p>
        </w:tc>
        <w:tc>
          <w:tcPr>
            <w:tcW w:w="104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1E2E5C">
              <w:rPr>
                <w:rFonts w:cs="Arial"/>
                <w:b/>
                <w:bCs/>
                <w:color w:val="FFFFFF"/>
                <w:sz w:val="16"/>
                <w:szCs w:val="16"/>
              </w:rPr>
              <w:t>uzel</w:t>
            </w:r>
          </w:p>
        </w:tc>
        <w:tc>
          <w:tcPr>
            <w:tcW w:w="100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1E2E5C">
              <w:rPr>
                <w:rFonts w:cs="Arial"/>
                <w:b/>
                <w:bCs/>
                <w:color w:val="FFFFFF"/>
                <w:sz w:val="16"/>
                <w:szCs w:val="16"/>
              </w:rPr>
              <w:t>celkem nehod</w:t>
            </w:r>
          </w:p>
        </w:tc>
        <w:tc>
          <w:tcPr>
            <w:tcW w:w="3080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948A5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1E2E5C">
              <w:rPr>
                <w:rFonts w:cs="Arial"/>
                <w:b/>
                <w:bCs/>
                <w:color w:val="FFFFFF"/>
                <w:sz w:val="16"/>
                <w:szCs w:val="16"/>
              </w:rPr>
              <w:t>Následky</w:t>
            </w:r>
          </w:p>
        </w:tc>
      </w:tr>
      <w:tr w:rsidR="001E2E5C" w:rsidRPr="001E2E5C" w:rsidTr="007E5E5F">
        <w:trPr>
          <w:trHeight w:val="450"/>
        </w:trPr>
        <w:tc>
          <w:tcPr>
            <w:tcW w:w="412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1E2E5C">
              <w:rPr>
                <w:rFonts w:cs="Arial"/>
                <w:b/>
                <w:bCs/>
                <w:color w:val="FFFFFF"/>
                <w:sz w:val="16"/>
                <w:szCs w:val="16"/>
              </w:rPr>
              <w:t>usmrceno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1E2E5C">
              <w:rPr>
                <w:rFonts w:cs="Arial"/>
                <w:b/>
                <w:bCs/>
                <w:color w:val="FFFFFF"/>
                <w:sz w:val="16"/>
                <w:szCs w:val="16"/>
              </w:rPr>
              <w:t>těžce zraněno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1E2E5C">
              <w:rPr>
                <w:rFonts w:cs="Arial"/>
                <w:b/>
                <w:bCs/>
                <w:color w:val="FFFFFF"/>
                <w:sz w:val="16"/>
                <w:szCs w:val="16"/>
              </w:rPr>
              <w:t>lehce zraněno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Evropská - Drnovská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6014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5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Pod Chodovem - Ryšavého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4092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4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Sokolská - I. P. Pavlova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2006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4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Jižní Spojka - Chodovská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4096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4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Dálnice D11 - Východní Spojka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9033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1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Klárov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1001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3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Černokostelecká - Průmyslová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4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Strakonická - Barrandovský most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5033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5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Bulhar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1055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1</w:t>
            </w:r>
          </w:p>
        </w:tc>
      </w:tr>
      <w:tr w:rsidR="001E2E5C" w:rsidRPr="001E2E5C" w:rsidTr="007E5E5F">
        <w:trPr>
          <w:trHeight w:val="375"/>
        </w:trPr>
        <w:tc>
          <w:tcPr>
            <w:tcW w:w="4120" w:type="dxa"/>
            <w:tcBorders>
              <w:top w:val="single" w:sz="4" w:space="0" w:color="4F6228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Litochlebské náměstí</w:t>
            </w:r>
          </w:p>
        </w:tc>
        <w:tc>
          <w:tcPr>
            <w:tcW w:w="104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4077</w:t>
            </w:r>
          </w:p>
        </w:tc>
        <w:tc>
          <w:tcPr>
            <w:tcW w:w="100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100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6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4F6228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1E2E5C" w:rsidRPr="001E2E5C" w:rsidRDefault="001E2E5C" w:rsidP="001E2E5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1E2E5C">
              <w:rPr>
                <w:rFonts w:cs="Arial"/>
                <w:sz w:val="16"/>
                <w:szCs w:val="16"/>
              </w:rPr>
              <w:t>4</w:t>
            </w:r>
          </w:p>
        </w:tc>
      </w:tr>
    </w:tbl>
    <w:p w:rsidR="00FC71B4" w:rsidRDefault="00FC71B4">
      <w:pPr>
        <w:spacing w:line="240" w:lineRule="auto"/>
      </w:pPr>
      <w:r>
        <w:br w:type="page"/>
      </w:r>
    </w:p>
    <w:p w:rsidR="00E321D9" w:rsidRDefault="00C45BFA" w:rsidP="00435680">
      <w:pPr>
        <w:rPr>
          <w:b/>
          <w:u w:val="single"/>
        </w:rPr>
      </w:pPr>
      <w:r>
        <w:rPr>
          <w:b/>
          <w:u w:val="single"/>
        </w:rPr>
        <w:lastRenderedPageBreak/>
        <w:t>N</w:t>
      </w:r>
      <w:r w:rsidR="002140EF">
        <w:rPr>
          <w:b/>
          <w:u w:val="single"/>
        </w:rPr>
        <w:t>ehody chodců</w:t>
      </w:r>
    </w:p>
    <w:p w:rsidR="002140EF" w:rsidRDefault="002140EF" w:rsidP="00435680">
      <w:pPr>
        <w:rPr>
          <w:b/>
          <w:u w:val="single"/>
        </w:rPr>
      </w:pPr>
    </w:p>
    <w:p w:rsidR="005214B2" w:rsidRDefault="001C1A38" w:rsidP="001C1A38">
      <w:pPr>
        <w:jc w:val="both"/>
      </w:pPr>
      <w:r>
        <w:tab/>
        <w:t>V roce 201</w:t>
      </w:r>
      <w:r w:rsidR="00BD40A3">
        <w:t>2</w:t>
      </w:r>
      <w:r>
        <w:t xml:space="preserve"> došlo na území hlavního města Prahy celkem k </w:t>
      </w:r>
      <w:r w:rsidR="00816C23">
        <w:t>630</w:t>
      </w:r>
      <w:r>
        <w:t xml:space="preserve"> nehodám, které končily srážkou s chodcem. Při těchto nehodách bylo usmrceno </w:t>
      </w:r>
      <w:r w:rsidR="00816C23">
        <w:t>12</w:t>
      </w:r>
      <w:r>
        <w:t xml:space="preserve"> osob, </w:t>
      </w:r>
      <w:r w:rsidR="00816C23">
        <w:t>126</w:t>
      </w:r>
      <w:r>
        <w:t xml:space="preserve"> bylo těžce zraněno a </w:t>
      </w:r>
      <w:r w:rsidR="00816C23">
        <w:t>487</w:t>
      </w:r>
      <w:r>
        <w:t xml:space="preserve"> bylo zraněno lehce. Porovnáním s rokem 201</w:t>
      </w:r>
      <w:r w:rsidR="00816C23">
        <w:t>1</w:t>
      </w:r>
      <w:r>
        <w:t xml:space="preserve"> evidujeme </w:t>
      </w:r>
      <w:r w:rsidR="005214B2">
        <w:t xml:space="preserve">nárůst </w:t>
      </w:r>
      <w:r>
        <w:t xml:space="preserve">počtu dopravních nehod s chodci o </w:t>
      </w:r>
      <w:r w:rsidR="00816C23">
        <w:t xml:space="preserve">32 </w:t>
      </w:r>
      <w:r>
        <w:t xml:space="preserve">nehod (tj. o </w:t>
      </w:r>
      <w:r w:rsidR="00816C23">
        <w:t>5,4</w:t>
      </w:r>
      <w:r w:rsidR="005214B2">
        <w:t xml:space="preserve"> </w:t>
      </w:r>
      <w:r>
        <w:t xml:space="preserve">%). </w:t>
      </w:r>
      <w:r w:rsidR="00816C23">
        <w:t>P</w:t>
      </w:r>
      <w:r>
        <w:t xml:space="preserve">očet usmrcených osob </w:t>
      </w:r>
      <w:r w:rsidR="00816C23">
        <w:t>je nižší než v loňském roce o 5 osob</w:t>
      </w:r>
      <w:r>
        <w:t xml:space="preserve"> (tj. o </w:t>
      </w:r>
      <w:r w:rsidR="00816C23">
        <w:t>29,4</w:t>
      </w:r>
      <w:r>
        <w:t xml:space="preserve"> %),</w:t>
      </w:r>
      <w:r w:rsidR="005214B2">
        <w:t xml:space="preserve"> o </w:t>
      </w:r>
      <w:r w:rsidR="00816C23">
        <w:t>4</w:t>
      </w:r>
      <w:r w:rsidR="005214B2">
        <w:t xml:space="preserve"> osoby je </w:t>
      </w:r>
      <w:r w:rsidR="00816C23">
        <w:t>vyšší</w:t>
      </w:r>
      <w:r w:rsidR="005214B2">
        <w:t xml:space="preserve"> počet těžce zraněných osob, vyšší je </w:t>
      </w:r>
      <w:r w:rsidR="00816C23">
        <w:t xml:space="preserve">i </w:t>
      </w:r>
      <w:r w:rsidR="005214B2">
        <w:t xml:space="preserve">počet lehce zraněných a to o </w:t>
      </w:r>
      <w:r w:rsidR="00816C23">
        <w:t>45</w:t>
      </w:r>
      <w:r w:rsidR="005214B2">
        <w:t xml:space="preserve"> osob.</w:t>
      </w:r>
    </w:p>
    <w:p w:rsidR="005214B2" w:rsidRDefault="005214B2" w:rsidP="001C1A38">
      <w:pPr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4"/>
        <w:gridCol w:w="631"/>
        <w:gridCol w:w="632"/>
        <w:gridCol w:w="632"/>
        <w:gridCol w:w="632"/>
        <w:gridCol w:w="632"/>
        <w:gridCol w:w="632"/>
        <w:gridCol w:w="632"/>
        <w:gridCol w:w="632"/>
        <w:gridCol w:w="632"/>
        <w:gridCol w:w="632"/>
        <w:gridCol w:w="632"/>
        <w:gridCol w:w="632"/>
        <w:gridCol w:w="632"/>
      </w:tblGrid>
      <w:tr w:rsidR="00816C23" w:rsidRPr="00816C23" w:rsidTr="00816C23">
        <w:trPr>
          <w:trHeight w:val="680"/>
        </w:trPr>
        <w:tc>
          <w:tcPr>
            <w:tcW w:w="220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Nehody chodců; 2000 - 2012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2000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2001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2002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2003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2004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2005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2006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2007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2008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2009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2010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16C23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</w:tr>
      <w:tr w:rsidR="00816C23" w:rsidRPr="00816C23" w:rsidTr="00816C23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nehod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923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1001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979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649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656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598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DD9C4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6C23">
              <w:rPr>
                <w:rFonts w:cs="Arial"/>
                <w:color w:val="000000"/>
                <w:sz w:val="16"/>
                <w:szCs w:val="16"/>
              </w:rPr>
              <w:t>630</w:t>
            </w:r>
          </w:p>
        </w:tc>
      </w:tr>
      <w:tr w:rsidR="00816C23" w:rsidRPr="00816C23" w:rsidTr="00816C23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usmrceno osob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16C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494529"/>
              <w:right w:val="nil"/>
            </w:tcBorders>
            <w:shd w:val="clear" w:color="000000" w:fill="C4BD97"/>
            <w:noWrap/>
            <w:vAlign w:val="center"/>
            <w:hideMark/>
          </w:tcPr>
          <w:p w:rsidR="00816C23" w:rsidRPr="00816C23" w:rsidRDefault="00816C23" w:rsidP="00816C2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6C23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</w:tr>
    </w:tbl>
    <w:p w:rsidR="00816C23" w:rsidRDefault="00816C23" w:rsidP="001C1A38">
      <w:pPr>
        <w:jc w:val="both"/>
      </w:pPr>
    </w:p>
    <w:p w:rsidR="005214B2" w:rsidRDefault="005214B2" w:rsidP="001C1A38">
      <w:pPr>
        <w:jc w:val="both"/>
      </w:pPr>
      <w:r>
        <w:t xml:space="preserve"> </w:t>
      </w:r>
    </w:p>
    <w:p w:rsidR="001C1A38" w:rsidRDefault="00816C23" w:rsidP="001C1A38">
      <w:pPr>
        <w:jc w:val="both"/>
      </w:pPr>
      <w:r>
        <w:rPr>
          <w:noProof/>
        </w:rPr>
        <w:drawing>
          <wp:inline distT="0" distB="0" distL="0" distR="0" wp14:anchorId="7CCC752C" wp14:editId="1135946F">
            <wp:extent cx="6181725" cy="3267075"/>
            <wp:effectExtent l="38100" t="38100" r="85725" b="85725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C1A38" w:rsidRDefault="001C1A38" w:rsidP="001C1A38">
      <w:pPr>
        <w:jc w:val="both"/>
      </w:pPr>
    </w:p>
    <w:p w:rsidR="00FC71B4" w:rsidRDefault="00FC71B4" w:rsidP="001C1A38">
      <w:pPr>
        <w:jc w:val="both"/>
      </w:pPr>
    </w:p>
    <w:p w:rsidR="00F71EFB" w:rsidRDefault="00F71EFB" w:rsidP="001C1A38">
      <w:pPr>
        <w:jc w:val="both"/>
      </w:pPr>
      <w:r>
        <w:tab/>
        <w:t xml:space="preserve">K největšímu počtu dopravních nehod za účasti chodců došlo v měsíci lednu (69 nehod), nejméně jich policisté šetřili v měsíci červenci (35 nehod). Nejvíce osob bylo usmrceno v měsících lednu, červnu a prosinci, kdy byly usmrceny 2 osoby, žádná osoba nebyla usmrcena při nehodách chodců v měsících květnu, červenci a říjnu. </w:t>
      </w:r>
    </w:p>
    <w:p w:rsidR="00F71EFB" w:rsidRDefault="00F71EFB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AD5E45" w:rsidRDefault="00AD5E45" w:rsidP="001C1A38">
      <w:pPr>
        <w:jc w:val="both"/>
      </w:pPr>
    </w:p>
    <w:p w:rsidR="00F71EFB" w:rsidRDefault="00F71EFB" w:rsidP="001C1A38">
      <w:pPr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5"/>
        <w:gridCol w:w="1406"/>
        <w:gridCol w:w="1406"/>
        <w:gridCol w:w="1406"/>
        <w:gridCol w:w="1406"/>
      </w:tblGrid>
      <w:tr w:rsidR="00F71EFB" w:rsidRPr="00F71EFB" w:rsidTr="00F71EFB">
        <w:trPr>
          <w:trHeight w:val="680"/>
        </w:trPr>
        <w:tc>
          <w:tcPr>
            <w:tcW w:w="274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F71EFB">
              <w:rPr>
                <w:rFonts w:cs="Arial"/>
                <w:b/>
                <w:bCs/>
                <w:color w:val="FFFFFF"/>
                <w:sz w:val="16"/>
                <w:szCs w:val="16"/>
              </w:rPr>
              <w:lastRenderedPageBreak/>
              <w:t>Nehody chodců po měsících;</w:t>
            </w:r>
            <w:r w:rsidRPr="00F71EFB">
              <w:rPr>
                <w:rFonts w:cs="Arial"/>
                <w:color w:val="FFFFFF"/>
                <w:sz w:val="16"/>
                <w:szCs w:val="16"/>
              </w:rPr>
              <w:t xml:space="preserve"> </w:t>
            </w:r>
            <w:r w:rsidRPr="00F71EFB">
              <w:rPr>
                <w:rFonts w:cs="Arial"/>
                <w:sz w:val="16"/>
                <w:szCs w:val="16"/>
              </w:rPr>
              <w:t>Praha 2012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F71EFB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F71EFB">
              <w:rPr>
                <w:rFonts w:cs="Arial"/>
                <w:b/>
                <w:bCs/>
                <w:color w:val="FFFFFF"/>
                <w:sz w:val="16"/>
                <w:szCs w:val="16"/>
              </w:rPr>
              <w:t>usmrceno osob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F71EFB">
              <w:rPr>
                <w:rFonts w:cs="Arial"/>
                <w:b/>
                <w:bCs/>
                <w:color w:val="FFFFFF"/>
                <w:sz w:val="16"/>
                <w:szCs w:val="16"/>
              </w:rPr>
              <w:t>těžce zraněno osob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F71EFB">
              <w:rPr>
                <w:rFonts w:cs="Arial"/>
                <w:b/>
                <w:bCs/>
                <w:color w:val="FFFFFF"/>
                <w:sz w:val="16"/>
                <w:szCs w:val="16"/>
              </w:rPr>
              <w:t>lehce zraněno osob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leden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49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únor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32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březen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33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duben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41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květen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40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červen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40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červenec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31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srpen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39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září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39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říjen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49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listopad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42</w:t>
            </w:r>
          </w:p>
        </w:tc>
      </w:tr>
      <w:tr w:rsidR="00F71EFB" w:rsidRPr="00F71EFB" w:rsidTr="00F71EFB">
        <w:trPr>
          <w:trHeight w:val="340"/>
        </w:trPr>
        <w:tc>
          <w:tcPr>
            <w:tcW w:w="27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prosinec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71EFB" w:rsidRPr="00F71EFB" w:rsidRDefault="00F71EFB" w:rsidP="00F71EFB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1EFB">
              <w:rPr>
                <w:rFonts w:cs="Arial"/>
                <w:color w:val="000000"/>
                <w:sz w:val="16"/>
                <w:szCs w:val="16"/>
              </w:rPr>
              <w:t>52</w:t>
            </w:r>
          </w:p>
        </w:tc>
      </w:tr>
    </w:tbl>
    <w:p w:rsidR="00F71EFB" w:rsidRDefault="00F71EFB" w:rsidP="001C1A38">
      <w:pPr>
        <w:jc w:val="both"/>
      </w:pPr>
    </w:p>
    <w:p w:rsidR="00F71EFB" w:rsidRDefault="00F71EFB" w:rsidP="001C1A38">
      <w:pPr>
        <w:jc w:val="both"/>
      </w:pPr>
    </w:p>
    <w:p w:rsidR="00B92FBE" w:rsidRDefault="00B92FBE" w:rsidP="001C1A38">
      <w:pPr>
        <w:jc w:val="both"/>
      </w:pPr>
      <w:r>
        <w:tab/>
        <w:t>K největšímu počtu dopravních nehod chodců došlo v době mezi 1</w:t>
      </w:r>
      <w:r w:rsidR="008A4690">
        <w:t>7</w:t>
      </w:r>
      <w:r>
        <w:t>. a 1</w:t>
      </w:r>
      <w:r w:rsidR="008A4690">
        <w:t>8</w:t>
      </w:r>
      <w:r>
        <w:t>. hodinou (6</w:t>
      </w:r>
      <w:r w:rsidR="008A4690">
        <w:t>0</w:t>
      </w:r>
      <w:r>
        <w:t xml:space="preserve"> nehod), nejméně nehod bylo v době mezi </w:t>
      </w:r>
      <w:r w:rsidR="008A4690">
        <w:t>2</w:t>
      </w:r>
      <w:r>
        <w:t xml:space="preserve">. a </w:t>
      </w:r>
      <w:r w:rsidR="008A4690">
        <w:t>3</w:t>
      </w:r>
      <w:r>
        <w:t>. hodinou (</w:t>
      </w:r>
      <w:r w:rsidR="008A4690">
        <w:t>2</w:t>
      </w:r>
      <w:r>
        <w:t xml:space="preserve"> nehody). Stejně jako u časového rozložení všech nehod můžeme i u nehod s chodci pozorovat ranní a odpolední špičku nápadu dopravních nehod. Ranní špička je v době od 7 do 10 hodin, odpolední pak v době od 14 do 19 hodin</w:t>
      </w:r>
      <w:r w:rsidR="008A4690">
        <w:t>, přičemž oproti časovému rozložení všech nehod je odpolední špička výraznější</w:t>
      </w:r>
      <w:r>
        <w:t>.</w:t>
      </w:r>
    </w:p>
    <w:p w:rsidR="00F71EFB" w:rsidRDefault="00F71EFB" w:rsidP="001C1A38">
      <w:pPr>
        <w:jc w:val="both"/>
      </w:pPr>
    </w:p>
    <w:p w:rsidR="00AD5E45" w:rsidRDefault="00AD5E45" w:rsidP="001C1A38">
      <w:pPr>
        <w:jc w:val="both"/>
      </w:pPr>
    </w:p>
    <w:p w:rsidR="008A4690" w:rsidRDefault="008A4690" w:rsidP="001C1A38">
      <w:pPr>
        <w:jc w:val="both"/>
      </w:pPr>
      <w:r>
        <w:rPr>
          <w:noProof/>
        </w:rPr>
        <w:drawing>
          <wp:inline distT="0" distB="0" distL="0" distR="0" wp14:anchorId="69DE9423" wp14:editId="1CA8EDAB">
            <wp:extent cx="5972810" cy="3427095"/>
            <wp:effectExtent l="38100" t="38100" r="104140" b="97155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A4690" w:rsidRDefault="008A4690" w:rsidP="001C1A38">
      <w:pPr>
        <w:jc w:val="both"/>
      </w:pPr>
    </w:p>
    <w:p w:rsidR="00B92FBE" w:rsidRDefault="00B92FBE" w:rsidP="001C1A38">
      <w:pPr>
        <w:jc w:val="both"/>
      </w:pPr>
    </w:p>
    <w:p w:rsidR="001C1A38" w:rsidRDefault="001C1A38" w:rsidP="001C1A38">
      <w:pPr>
        <w:jc w:val="both"/>
      </w:pPr>
      <w:r>
        <w:tab/>
        <w:t xml:space="preserve">Z nehod končících srážkou s chodcem jich celkem </w:t>
      </w:r>
      <w:r w:rsidR="00816C23">
        <w:t>86</w:t>
      </w:r>
      <w:r>
        <w:t xml:space="preserve"> končilo srážkou s dítětem. V této kategorii evidujeme meziroční </w:t>
      </w:r>
      <w:r w:rsidR="00816C23">
        <w:t>nárůst</w:t>
      </w:r>
      <w:r>
        <w:t xml:space="preserve"> o </w:t>
      </w:r>
      <w:r w:rsidR="00816C23">
        <w:t>11</w:t>
      </w:r>
      <w:r>
        <w:t xml:space="preserve"> nehod (</w:t>
      </w:r>
      <w:r w:rsidR="00391DF4">
        <w:t xml:space="preserve">tj. o </w:t>
      </w:r>
      <w:r w:rsidR="00FB080A">
        <w:t>14,7</w:t>
      </w:r>
      <w:r w:rsidR="00391DF4">
        <w:t xml:space="preserve"> %).</w:t>
      </w:r>
      <w:r>
        <w:t xml:space="preserve"> Při nehodách chodců – dětí nebyl nikdo usmrcen</w:t>
      </w:r>
      <w:r w:rsidR="00391DF4">
        <w:t xml:space="preserve"> stejně jako v loňském roce</w:t>
      </w:r>
      <w:r>
        <w:t>, 14 dětí bylo zraněno těžce (</w:t>
      </w:r>
      <w:r w:rsidR="00391DF4">
        <w:t>stejně jako v roce 201</w:t>
      </w:r>
      <w:r w:rsidR="00FB080A">
        <w:t>1</w:t>
      </w:r>
      <w:r>
        <w:t xml:space="preserve">) a </w:t>
      </w:r>
      <w:r w:rsidR="00FB080A">
        <w:t>70</w:t>
      </w:r>
      <w:r>
        <w:t xml:space="preserve"> dětí bylo zraněno lehce (</w:t>
      </w:r>
      <w:r w:rsidR="00FB080A">
        <w:t>nárůst o 8</w:t>
      </w:r>
      <w:r>
        <w:t xml:space="preserve"> osob, tj. o</w:t>
      </w:r>
      <w:r w:rsidR="00FB080A">
        <w:t xml:space="preserve"> 12,9 </w:t>
      </w:r>
      <w:r>
        <w:t xml:space="preserve">%). </w:t>
      </w:r>
    </w:p>
    <w:p w:rsidR="00FC71B4" w:rsidRDefault="00FC71B4" w:rsidP="001C1A38">
      <w:pPr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7"/>
        <w:gridCol w:w="2221"/>
        <w:gridCol w:w="2221"/>
      </w:tblGrid>
      <w:tr w:rsidR="00FB080A" w:rsidRPr="00FB080A" w:rsidTr="00FB080A">
        <w:trPr>
          <w:trHeight w:val="680"/>
        </w:trPr>
        <w:tc>
          <w:tcPr>
            <w:tcW w:w="220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FB080A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chodců - dětí, </w:t>
            </w:r>
            <w:r w:rsidR="00AD5E45">
              <w:rPr>
                <w:rFonts w:cs="Arial"/>
                <w:sz w:val="16"/>
                <w:szCs w:val="16"/>
              </w:rPr>
              <w:t>Praha 2</w:t>
            </w:r>
            <w:r w:rsidRPr="00FB080A">
              <w:rPr>
                <w:rFonts w:cs="Arial"/>
                <w:sz w:val="16"/>
                <w:szCs w:val="16"/>
              </w:rPr>
              <w:t>000 - 2012</w:t>
            </w:r>
          </w:p>
        </w:tc>
        <w:tc>
          <w:tcPr>
            <w:tcW w:w="9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FB080A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9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FB080A">
              <w:rPr>
                <w:rFonts w:cs="Arial"/>
                <w:b/>
                <w:bCs/>
                <w:color w:val="FFFFFF"/>
                <w:sz w:val="16"/>
                <w:szCs w:val="16"/>
              </w:rPr>
              <w:t>usmrceno osob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191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0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0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153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3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157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1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117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0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1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0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0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1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0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0</w:t>
            </w:r>
          </w:p>
        </w:tc>
      </w:tr>
      <w:tr w:rsidR="00FB080A" w:rsidRPr="00FB080A" w:rsidTr="00FB080A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2012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FB080A" w:rsidRPr="00FB080A" w:rsidRDefault="00FB080A" w:rsidP="00FB080A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B080A">
              <w:rPr>
                <w:rFonts w:cs="Arial"/>
                <w:sz w:val="16"/>
                <w:szCs w:val="16"/>
              </w:rPr>
              <w:t>0</w:t>
            </w:r>
          </w:p>
        </w:tc>
      </w:tr>
    </w:tbl>
    <w:p w:rsidR="00391DF4" w:rsidRDefault="00391DF4" w:rsidP="001C1A38">
      <w:pPr>
        <w:jc w:val="both"/>
      </w:pPr>
    </w:p>
    <w:p w:rsidR="00391DF4" w:rsidRDefault="00391DF4" w:rsidP="001C1A38">
      <w:pPr>
        <w:jc w:val="both"/>
      </w:pPr>
    </w:p>
    <w:p w:rsidR="00391DF4" w:rsidRDefault="00FB080A" w:rsidP="001C1A38">
      <w:pPr>
        <w:jc w:val="both"/>
      </w:pPr>
      <w:r>
        <w:rPr>
          <w:noProof/>
        </w:rPr>
        <w:drawing>
          <wp:inline distT="0" distB="0" distL="0" distR="0" wp14:anchorId="29C7CD01" wp14:editId="1D6BAF92">
            <wp:extent cx="6103089" cy="4040372"/>
            <wp:effectExtent l="38100" t="38100" r="88265" b="9398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91DF4" w:rsidRDefault="00391DF4" w:rsidP="001C1A38">
      <w:pPr>
        <w:jc w:val="both"/>
      </w:pPr>
    </w:p>
    <w:p w:rsidR="007D3BD5" w:rsidRDefault="007D3BD5" w:rsidP="001C1A38">
      <w:pPr>
        <w:jc w:val="both"/>
      </w:pPr>
    </w:p>
    <w:p w:rsidR="00F3616E" w:rsidRDefault="00F3616E" w:rsidP="007D3BD5">
      <w:pPr>
        <w:rPr>
          <w:b/>
          <w:u w:val="single"/>
        </w:rPr>
      </w:pPr>
    </w:p>
    <w:p w:rsidR="00F3616E" w:rsidRDefault="00F3616E" w:rsidP="007D3BD5">
      <w:pPr>
        <w:rPr>
          <w:b/>
          <w:u w:val="single"/>
        </w:rPr>
      </w:pPr>
    </w:p>
    <w:p w:rsidR="00F3616E" w:rsidRDefault="00F3616E" w:rsidP="007D3BD5">
      <w:pPr>
        <w:rPr>
          <w:b/>
          <w:u w:val="single"/>
        </w:rPr>
      </w:pPr>
    </w:p>
    <w:p w:rsidR="00F3616E" w:rsidRDefault="00F3616E" w:rsidP="007D3BD5">
      <w:pPr>
        <w:rPr>
          <w:b/>
          <w:u w:val="single"/>
        </w:rPr>
      </w:pPr>
    </w:p>
    <w:p w:rsidR="00F3616E" w:rsidRDefault="00F3616E" w:rsidP="007D3BD5">
      <w:pPr>
        <w:rPr>
          <w:b/>
          <w:u w:val="single"/>
        </w:rPr>
      </w:pPr>
    </w:p>
    <w:p w:rsidR="007D3BD5" w:rsidRPr="009F53A2" w:rsidRDefault="007D3BD5" w:rsidP="007D3BD5">
      <w:pPr>
        <w:rPr>
          <w:b/>
          <w:u w:val="single"/>
        </w:rPr>
      </w:pPr>
      <w:r w:rsidRPr="009F53A2">
        <w:rPr>
          <w:b/>
          <w:u w:val="single"/>
        </w:rPr>
        <w:lastRenderedPageBreak/>
        <w:t>Příčiny nehod chodců:</w:t>
      </w:r>
    </w:p>
    <w:p w:rsidR="007D3BD5" w:rsidRDefault="007D3BD5" w:rsidP="007D3BD5"/>
    <w:p w:rsidR="007D3BD5" w:rsidRDefault="007D3BD5" w:rsidP="007D3BD5">
      <w:pPr>
        <w:jc w:val="both"/>
      </w:pPr>
      <w:r>
        <w:tab/>
        <w:t>Ve 222 případech bylo příčinou střetu vozidla a chodce „nedání přednosti“ (z toho 214 nehod bylo zaviněno nedáním přednosti chodci na vyznačeném přechodu), 126 nehod bylo zaviněno z příčiny „nesprávný způsob jízdy“, 4 nehod zavinili řidiči „nepřiměřenou rychlostí“ a ve 278 případech nebyla nehoda zaviněna řidičem.</w:t>
      </w:r>
    </w:p>
    <w:p w:rsidR="007D3BD5" w:rsidRDefault="007D3BD5" w:rsidP="001C1A38">
      <w:pPr>
        <w:jc w:val="both"/>
      </w:pPr>
    </w:p>
    <w:p w:rsidR="00391DF4" w:rsidRDefault="00391DF4" w:rsidP="001C1A38">
      <w:pPr>
        <w:jc w:val="both"/>
      </w:pPr>
    </w:p>
    <w:p w:rsidR="00391DF4" w:rsidRPr="008C6DFC" w:rsidRDefault="008A4690" w:rsidP="001C1A38">
      <w:pPr>
        <w:jc w:val="both"/>
        <w:rPr>
          <w:b/>
        </w:rPr>
      </w:pPr>
      <w:r w:rsidRPr="008C6DFC">
        <w:rPr>
          <w:b/>
        </w:rPr>
        <w:t xml:space="preserve">Nehody zaviněné chodci: </w:t>
      </w:r>
    </w:p>
    <w:p w:rsidR="008A4690" w:rsidRDefault="008A4690" w:rsidP="001C1A38">
      <w:pPr>
        <w:jc w:val="both"/>
      </w:pPr>
    </w:p>
    <w:p w:rsidR="008A4690" w:rsidRDefault="008A4690" w:rsidP="001C1A38">
      <w:pPr>
        <w:jc w:val="both"/>
      </w:pPr>
      <w:r>
        <w:tab/>
        <w:t>V roce 2012 chodci zavinili celkem 278 nehod, při kterých byly usmrceny 3 osoby, 43 osob bylo těžce zraněno a 208 bylo zraněno lehce. Meziročně zaznamenáváme nárůst o 33 nehod, tj. o 13,5 %, u usmrcených osob však evidujeme pokles o 4 osoby, tj. o 57,1 %.</w:t>
      </w:r>
      <w:r w:rsidR="002B3D14">
        <w:t xml:space="preserve"> Z 278 nehod, které zavinili chodci, jich 60 zavinily děti (nárůst o 19 nehod). Při nehodách zaviněných chodci – dětmi nebyla žádná osoba usmrcena, 13 osob bylo těžce zraněno (nárůst o 8 nehod) a 45 osob bylo zraněno lehce (nárůst o 10 osob). </w:t>
      </w:r>
    </w:p>
    <w:p w:rsidR="008A4690" w:rsidRDefault="008A4690" w:rsidP="001C1A38">
      <w:pPr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7"/>
        <w:gridCol w:w="2221"/>
        <w:gridCol w:w="2221"/>
      </w:tblGrid>
      <w:tr w:rsidR="008A4690" w:rsidRPr="008A4690" w:rsidTr="008C6DFC">
        <w:trPr>
          <w:trHeight w:val="680"/>
        </w:trPr>
        <w:tc>
          <w:tcPr>
            <w:tcW w:w="220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A4690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zaviněné chodci, </w:t>
            </w:r>
            <w:r w:rsidR="00AD5E45">
              <w:rPr>
                <w:rFonts w:cs="Arial"/>
                <w:sz w:val="16"/>
                <w:szCs w:val="16"/>
              </w:rPr>
              <w:t>Praha 1</w:t>
            </w:r>
            <w:r w:rsidRPr="008A4690">
              <w:rPr>
                <w:rFonts w:cs="Arial"/>
                <w:sz w:val="16"/>
                <w:szCs w:val="16"/>
              </w:rPr>
              <w:t>998-2012</w:t>
            </w:r>
          </w:p>
        </w:tc>
        <w:tc>
          <w:tcPr>
            <w:tcW w:w="9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A4690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9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8A4690">
              <w:rPr>
                <w:rFonts w:cs="Arial"/>
                <w:b/>
                <w:bCs/>
                <w:color w:val="FFFFFF"/>
                <w:sz w:val="16"/>
                <w:szCs w:val="16"/>
              </w:rPr>
              <w:t>Usmrceno osob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1998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609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9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1999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571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16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531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14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470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15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487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17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454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11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384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12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352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16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328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12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311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13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326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9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304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5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5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7</w:t>
            </w:r>
          </w:p>
        </w:tc>
      </w:tr>
      <w:tr w:rsidR="008A4690" w:rsidRPr="008A4690" w:rsidTr="008C6DFC">
        <w:trPr>
          <w:trHeight w:val="340"/>
        </w:trPr>
        <w:tc>
          <w:tcPr>
            <w:tcW w:w="2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A469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2012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278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8A4690" w:rsidRPr="008A4690" w:rsidRDefault="008A4690" w:rsidP="008C6DFC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8A4690">
              <w:rPr>
                <w:rFonts w:cs="Arial"/>
                <w:sz w:val="16"/>
                <w:szCs w:val="16"/>
              </w:rPr>
              <w:t>3</w:t>
            </w:r>
          </w:p>
        </w:tc>
      </w:tr>
    </w:tbl>
    <w:p w:rsidR="008A4690" w:rsidRDefault="008A4690" w:rsidP="001C1A38">
      <w:pPr>
        <w:jc w:val="both"/>
      </w:pPr>
    </w:p>
    <w:p w:rsidR="008C6DFC" w:rsidRDefault="008C6DFC" w:rsidP="001C1A38">
      <w:pPr>
        <w:jc w:val="both"/>
      </w:pPr>
    </w:p>
    <w:p w:rsidR="008A4690" w:rsidRDefault="008C6DFC" w:rsidP="001C1A38">
      <w:pPr>
        <w:jc w:val="both"/>
      </w:pPr>
      <w:r>
        <w:rPr>
          <w:noProof/>
        </w:rPr>
        <w:lastRenderedPageBreak/>
        <w:drawing>
          <wp:inline distT="0" distB="0" distL="0" distR="0" wp14:anchorId="2A9DFB46" wp14:editId="41FDEE7A">
            <wp:extent cx="6039293" cy="3923414"/>
            <wp:effectExtent l="38100" t="38100" r="95250" b="96520"/>
            <wp:docPr id="10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91DF4" w:rsidRDefault="00391DF4" w:rsidP="001C1A38">
      <w:pPr>
        <w:jc w:val="both"/>
      </w:pPr>
    </w:p>
    <w:p w:rsidR="007D3BD5" w:rsidRDefault="007D3BD5" w:rsidP="001C1A38">
      <w:pPr>
        <w:jc w:val="both"/>
      </w:pPr>
    </w:p>
    <w:p w:rsidR="007D3BD5" w:rsidRDefault="007D3BD5" w:rsidP="007D3BD5">
      <w:pPr>
        <w:jc w:val="both"/>
      </w:pPr>
    </w:p>
    <w:p w:rsidR="007D3BD5" w:rsidRDefault="007D3BD5" w:rsidP="007D3BD5">
      <w:pPr>
        <w:jc w:val="both"/>
      </w:pPr>
    </w:p>
    <w:p w:rsidR="007D3BD5" w:rsidRPr="009F53A2" w:rsidRDefault="007D3BD5" w:rsidP="007D3BD5">
      <w:pPr>
        <w:jc w:val="both"/>
        <w:rPr>
          <w:b/>
          <w:u w:val="single"/>
        </w:rPr>
      </w:pPr>
      <w:r w:rsidRPr="009F53A2">
        <w:rPr>
          <w:b/>
          <w:u w:val="single"/>
        </w:rPr>
        <w:t xml:space="preserve">Nehody na přechodech pro chodce: </w:t>
      </w:r>
    </w:p>
    <w:p w:rsidR="007D3BD5" w:rsidRDefault="007D3BD5" w:rsidP="007D3BD5"/>
    <w:p w:rsidR="007D3BD5" w:rsidRDefault="007D3BD5" w:rsidP="007D3BD5">
      <w:pPr>
        <w:jc w:val="both"/>
      </w:pPr>
      <w:r>
        <w:tab/>
        <w:t>Na vyznačených přechodech pro chodce došlo v roce 2012 ke 298 nehodám, což představuje meziroční nárůst o 30 nehod. Poklesl počet osob usmrcených na přechodech pro chodce o 4 osoby.</w:t>
      </w:r>
    </w:p>
    <w:p w:rsidR="007D3BD5" w:rsidRDefault="007D3BD5" w:rsidP="007D3BD5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1"/>
        <w:gridCol w:w="1956"/>
        <w:gridCol w:w="1992"/>
      </w:tblGrid>
      <w:tr w:rsidR="007D3BD5" w:rsidRPr="007D3BD5" w:rsidTr="007D3BD5">
        <w:trPr>
          <w:trHeight w:val="340"/>
        </w:trPr>
        <w:tc>
          <w:tcPr>
            <w:tcW w:w="320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7D3BD5">
              <w:rPr>
                <w:rFonts w:cs="Arial"/>
                <w:b/>
                <w:bCs/>
                <w:color w:val="FFFFFF"/>
                <w:sz w:val="16"/>
                <w:szCs w:val="16"/>
              </w:rPr>
              <w:t>Nehody na přechodech pro chodce;</w:t>
            </w:r>
            <w:r w:rsidRPr="007D3BD5">
              <w:rPr>
                <w:rFonts w:cs="Arial"/>
                <w:color w:val="FFFFFF"/>
                <w:sz w:val="16"/>
                <w:szCs w:val="16"/>
              </w:rPr>
              <w:t xml:space="preserve"> </w:t>
            </w:r>
            <w:r w:rsidR="00AD5E45" w:rsidRPr="00AD5E45">
              <w:rPr>
                <w:rFonts w:cs="Arial"/>
                <w:sz w:val="16"/>
                <w:szCs w:val="16"/>
              </w:rPr>
              <w:t xml:space="preserve">Praha </w:t>
            </w:r>
            <w:r w:rsidRPr="007D3BD5">
              <w:rPr>
                <w:rFonts w:cs="Arial"/>
                <w:sz w:val="16"/>
                <w:szCs w:val="16"/>
              </w:rPr>
              <w:t>2000 - 2012</w:t>
            </w:r>
          </w:p>
        </w:tc>
        <w:tc>
          <w:tcPr>
            <w:tcW w:w="222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7D3BD5">
              <w:rPr>
                <w:rFonts w:cs="Arial"/>
                <w:b/>
                <w:bCs/>
                <w:color w:val="FFFFFF"/>
                <w:sz w:val="16"/>
                <w:szCs w:val="16"/>
              </w:rPr>
              <w:t>Praha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7D3BD5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7D3BD5">
              <w:rPr>
                <w:rFonts w:cs="Arial"/>
                <w:b/>
                <w:bCs/>
                <w:color w:val="FFFFFF"/>
                <w:sz w:val="16"/>
                <w:szCs w:val="16"/>
              </w:rPr>
              <w:t>usmrceno osob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6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448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15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429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11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6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6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17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10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7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4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7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5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8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4</w:t>
            </w:r>
          </w:p>
        </w:tc>
      </w:tr>
    </w:tbl>
    <w:p w:rsidR="007D3BD5" w:rsidRDefault="007D3BD5" w:rsidP="007D3BD5"/>
    <w:p w:rsidR="007D3BD5" w:rsidRDefault="007D3BD5" w:rsidP="007D3BD5"/>
    <w:p w:rsidR="007D3BD5" w:rsidRDefault="007D3BD5" w:rsidP="007D3BD5">
      <w:r>
        <w:rPr>
          <w:noProof/>
        </w:rPr>
        <w:drawing>
          <wp:inline distT="0" distB="0" distL="0" distR="0" wp14:anchorId="3BFA55F0" wp14:editId="0E6564FC">
            <wp:extent cx="6028661" cy="4040372"/>
            <wp:effectExtent l="38100" t="38100" r="86995" b="93980"/>
            <wp:docPr id="13" name="Graf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D3BD5" w:rsidRDefault="007D3BD5" w:rsidP="007D3BD5">
      <w:pPr>
        <w:jc w:val="both"/>
      </w:pPr>
      <w:r>
        <w:tab/>
      </w:r>
    </w:p>
    <w:p w:rsidR="007D3BD5" w:rsidRDefault="007D3BD5" w:rsidP="007D3BD5">
      <w:pPr>
        <w:jc w:val="both"/>
      </w:pPr>
    </w:p>
    <w:p w:rsidR="007D3BD5" w:rsidRDefault="007D3BD5" w:rsidP="007D3BD5">
      <w:pPr>
        <w:jc w:val="both"/>
      </w:pPr>
    </w:p>
    <w:p w:rsidR="007D3BD5" w:rsidRDefault="007D3BD5" w:rsidP="007D3BD5">
      <w:pPr>
        <w:ind w:firstLine="708"/>
        <w:jc w:val="both"/>
      </w:pPr>
      <w:r>
        <w:t xml:space="preserve">Z příčiny nedání přednosti chodci na vyznačeném přechodu došlo v roce 2012 ke 214 nehodám, při těchto nehodách byly usmrceny 4 osoby. U nehod zaviněných řidičem nedáním přednosti chodci na vyznačeném přechodu evidujeme meziroční nárůst o 13 nehod, bylo však usmrceno o 3 osoby méně. </w:t>
      </w:r>
    </w:p>
    <w:p w:rsidR="007D3BD5" w:rsidRDefault="007D3BD5" w:rsidP="007D3BD5"/>
    <w:p w:rsidR="007D3BD5" w:rsidRDefault="007D3BD5" w:rsidP="007D3BD5"/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1"/>
        <w:gridCol w:w="1956"/>
        <w:gridCol w:w="1992"/>
      </w:tblGrid>
      <w:tr w:rsidR="007D3BD5" w:rsidRPr="007D3BD5" w:rsidTr="007D3BD5">
        <w:trPr>
          <w:trHeight w:val="340"/>
        </w:trPr>
        <w:tc>
          <w:tcPr>
            <w:tcW w:w="320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7D3BD5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Nedání přednosti chodci na vyznačeném přechodu; </w:t>
            </w:r>
            <w:r w:rsidR="00AD5E45">
              <w:rPr>
                <w:rFonts w:cs="Arial"/>
                <w:bCs/>
                <w:sz w:val="16"/>
                <w:szCs w:val="16"/>
              </w:rPr>
              <w:t>Praha 2</w:t>
            </w:r>
            <w:r w:rsidRPr="007D3BD5">
              <w:rPr>
                <w:rFonts w:cs="Arial"/>
                <w:bCs/>
                <w:sz w:val="16"/>
                <w:szCs w:val="16"/>
              </w:rPr>
              <w:t xml:space="preserve">000 </w:t>
            </w:r>
            <w:r w:rsidRPr="007D3BD5">
              <w:rPr>
                <w:rFonts w:cs="Arial"/>
                <w:sz w:val="16"/>
                <w:szCs w:val="16"/>
              </w:rPr>
              <w:t>- 2012</w:t>
            </w:r>
          </w:p>
        </w:tc>
        <w:tc>
          <w:tcPr>
            <w:tcW w:w="222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7D3BD5">
              <w:rPr>
                <w:rFonts w:cs="Arial"/>
                <w:b/>
                <w:bCs/>
                <w:color w:val="FFFFFF"/>
                <w:sz w:val="16"/>
                <w:szCs w:val="16"/>
              </w:rPr>
              <w:t>Praha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7D3BD5">
              <w:rPr>
                <w:rFonts w:cs="Arial"/>
                <w:b/>
                <w:bCs/>
                <w:color w:val="FFFFFF"/>
                <w:sz w:val="16"/>
                <w:szCs w:val="16"/>
              </w:rPr>
              <w:t>nehod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7D3BD5">
              <w:rPr>
                <w:rFonts w:cs="Arial"/>
                <w:b/>
                <w:bCs/>
                <w:color w:val="FFFFFF"/>
                <w:sz w:val="16"/>
                <w:szCs w:val="16"/>
              </w:rPr>
              <w:t>usmrceno osob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183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6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11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9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6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5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9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197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5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0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3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4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197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5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7</w:t>
            </w:r>
          </w:p>
        </w:tc>
      </w:tr>
      <w:tr w:rsidR="007D3BD5" w:rsidRPr="007D3BD5" w:rsidTr="007D3BD5">
        <w:trPr>
          <w:trHeight w:val="340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2012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214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center"/>
            <w:hideMark/>
          </w:tcPr>
          <w:p w:rsidR="007D3BD5" w:rsidRPr="007D3BD5" w:rsidRDefault="007D3BD5" w:rsidP="007D3BD5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D3BD5">
              <w:rPr>
                <w:rFonts w:cs="Arial"/>
                <w:sz w:val="16"/>
                <w:szCs w:val="16"/>
              </w:rPr>
              <w:t>4</w:t>
            </w:r>
          </w:p>
        </w:tc>
      </w:tr>
    </w:tbl>
    <w:p w:rsidR="007D3BD5" w:rsidRDefault="007D3BD5" w:rsidP="007D3BD5"/>
    <w:p w:rsidR="007D3BD5" w:rsidRDefault="007D3BD5" w:rsidP="007D3BD5">
      <w:r>
        <w:rPr>
          <w:noProof/>
        </w:rPr>
        <w:drawing>
          <wp:inline distT="0" distB="0" distL="0" distR="0" wp14:anchorId="41523CEE" wp14:editId="701CAEF3">
            <wp:extent cx="6106601" cy="4158532"/>
            <wp:effectExtent l="38100" t="38100" r="104140" b="90170"/>
            <wp:docPr id="14" name="Graf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D5E45" w:rsidRDefault="00AD5E45" w:rsidP="007D3BD5"/>
    <w:p w:rsidR="007D3BD5" w:rsidRDefault="00B91C73" w:rsidP="007D3BD5">
      <w:r>
        <w:rPr>
          <w:noProof/>
        </w:rPr>
        <w:drawing>
          <wp:inline distT="0" distB="0" distL="0" distR="0" wp14:anchorId="1AEA1EF0" wp14:editId="3471A6A4">
            <wp:extent cx="6106601" cy="3856382"/>
            <wp:effectExtent l="38100" t="38100" r="104140" b="86995"/>
            <wp:docPr id="15" name="Graf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D3BD5" w:rsidRDefault="007D3BD5" w:rsidP="007D3BD5"/>
    <w:p w:rsidR="007D3BD5" w:rsidRDefault="007D3BD5" w:rsidP="007D3BD5">
      <w:pPr>
        <w:rPr>
          <w:sz w:val="18"/>
          <w:szCs w:val="18"/>
        </w:rPr>
      </w:pPr>
    </w:p>
    <w:p w:rsidR="008C6DFC" w:rsidRDefault="008C6DFC" w:rsidP="001C1A38">
      <w:pPr>
        <w:jc w:val="both"/>
      </w:pPr>
    </w:p>
    <w:p w:rsidR="008C6DFC" w:rsidRDefault="008C6DFC" w:rsidP="001C1A38">
      <w:pPr>
        <w:jc w:val="both"/>
      </w:pPr>
    </w:p>
    <w:p w:rsidR="001C1A38" w:rsidRPr="001470F4" w:rsidRDefault="001C1A38" w:rsidP="001C1A38">
      <w:pPr>
        <w:rPr>
          <w:b/>
          <w:u w:val="single"/>
        </w:rPr>
      </w:pPr>
      <w:r w:rsidRPr="001470F4">
        <w:rPr>
          <w:b/>
          <w:u w:val="single"/>
        </w:rPr>
        <w:lastRenderedPageBreak/>
        <w:t>Místa s největším počtem nehod chodců</w:t>
      </w:r>
      <w:r>
        <w:rPr>
          <w:rStyle w:val="Znakapoznpodarou"/>
          <w:b/>
          <w:u w:val="single"/>
        </w:rPr>
        <w:footnoteReference w:id="2"/>
      </w:r>
      <w:r w:rsidRPr="001470F4">
        <w:rPr>
          <w:b/>
          <w:u w:val="single"/>
        </w:rPr>
        <w:t>:</w:t>
      </w:r>
    </w:p>
    <w:p w:rsidR="001C1A38" w:rsidRDefault="001C1A38" w:rsidP="001C1A38"/>
    <w:p w:rsidR="001C1A38" w:rsidRDefault="00781A41" w:rsidP="00781A41">
      <w:pPr>
        <w:jc w:val="both"/>
      </w:pPr>
      <w:r>
        <w:tab/>
        <w:t>K největšímu počtu dopravních nehod za účasti chodců došlo na ulici</w:t>
      </w:r>
      <w:r w:rsidR="005A7873">
        <w:t xml:space="preserve"> Jana Želivského mezi ulicemi Biskupcova a Jeseniova (6 nehod)</w:t>
      </w:r>
      <w:r>
        <w:t xml:space="preserve">. </w:t>
      </w:r>
      <w:r w:rsidR="003C3BDD">
        <w:t>Mezi další místa, kde došlo v roce 201</w:t>
      </w:r>
      <w:r w:rsidR="005A7873">
        <w:t>2</w:t>
      </w:r>
      <w:r w:rsidR="003C3BDD">
        <w:t xml:space="preserve"> k vyššímu počtu nehod chodců</w:t>
      </w:r>
      <w:r w:rsidR="005A7873">
        <w:t>, Táboritská u zastávky MHD „Olšanské náměstí“, Spálená u zastávky MHD „Národní třída“, křižovatka ulic Českomoravská a Freyova a další</w:t>
      </w:r>
      <w:r w:rsidR="003C3BDD">
        <w:t>.</w:t>
      </w:r>
    </w:p>
    <w:p w:rsidR="003C3BDD" w:rsidRDefault="003C3BDD" w:rsidP="00781A41">
      <w:pPr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8"/>
        <w:gridCol w:w="2221"/>
      </w:tblGrid>
      <w:tr w:rsidR="005A7873" w:rsidRPr="005A7873" w:rsidTr="005A7873">
        <w:trPr>
          <w:trHeight w:val="680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b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b/>
                <w:color w:val="FFFFFF" w:themeColor="background1"/>
                <w:sz w:val="16"/>
                <w:szCs w:val="16"/>
              </w:rPr>
              <w:t>Místa nehod chodců;</w:t>
            </w:r>
            <w:r>
              <w:rPr>
                <w:rFonts w:cs="Aria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5A7873">
              <w:rPr>
                <w:rFonts w:cs="Arial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Praha </w:t>
            </w:r>
            <w:r w:rsidRPr="005A7873">
              <w:rPr>
                <w:rFonts w:cs="Arial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94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b/>
                <w:color w:val="FFFFFF" w:themeColor="background1"/>
                <w:sz w:val="16"/>
                <w:szCs w:val="16"/>
              </w:rPr>
              <w:t>počet nehod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Jana Želivského mezi ulicemi Jeseniova a Biskupcova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Táboritská u zastávky MHD "Olšanské náměstí"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Spálená u zastávky MHD "Národní třída"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Českomoravská - Freyova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Ječná u zastávky MHD "Štěpánská"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Křížovnická u zastávky MHD "Staroměstská"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Evropská u zastávky MHD "Sídliště Červený vrch"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Podolské nábřeží u zastávky MHD "Dvorce"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Bubenské nábřeží u zastávky MHD "Pražská tržnice"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A7873" w:rsidRPr="005A7873" w:rsidTr="005A7873">
        <w:trPr>
          <w:trHeight w:val="340"/>
        </w:trPr>
        <w:tc>
          <w:tcPr>
            <w:tcW w:w="314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 xml:space="preserve">Prosecká - Lovosická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5A7873" w:rsidRPr="005A7873" w:rsidRDefault="005A7873" w:rsidP="005A7873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7873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:rsidR="005A7873" w:rsidRDefault="005A7873" w:rsidP="00781A41">
      <w:pPr>
        <w:jc w:val="both"/>
      </w:pPr>
    </w:p>
    <w:p w:rsidR="005A7873" w:rsidRDefault="005A7873" w:rsidP="00781A41">
      <w:pPr>
        <w:jc w:val="both"/>
      </w:pPr>
    </w:p>
    <w:p w:rsidR="001C1A38" w:rsidRDefault="001C1A38" w:rsidP="001C1A38"/>
    <w:p w:rsidR="001C1A38" w:rsidRDefault="001C1A38" w:rsidP="001C1A38"/>
    <w:p w:rsidR="001C1A38" w:rsidRDefault="005A7873" w:rsidP="001C1A38">
      <w:r>
        <w:rPr>
          <w:noProof/>
        </w:rPr>
        <w:drawing>
          <wp:anchor distT="0" distB="0" distL="114300" distR="114300" simplePos="0" relativeHeight="251659264" behindDoc="1" locked="0" layoutInCell="1" allowOverlap="1" wp14:anchorId="588766A0" wp14:editId="5D78F811">
            <wp:simplePos x="0" y="0"/>
            <wp:positionH relativeFrom="column">
              <wp:posOffset>3357162</wp:posOffset>
            </wp:positionH>
            <wp:positionV relativeFrom="paragraph">
              <wp:posOffset>35560</wp:posOffset>
            </wp:positionV>
            <wp:extent cx="2569845" cy="2569845"/>
            <wp:effectExtent l="38100" t="38100" r="97155" b="97155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256984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3C49596" wp14:editId="07AB7A81">
            <wp:simplePos x="0" y="0"/>
            <wp:positionH relativeFrom="column">
              <wp:posOffset>42214</wp:posOffset>
            </wp:positionH>
            <wp:positionV relativeFrom="paragraph">
              <wp:posOffset>36416</wp:posOffset>
            </wp:positionV>
            <wp:extent cx="2570400" cy="2570400"/>
            <wp:effectExtent l="38100" t="38100" r="97155" b="97155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0400" cy="25704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A38" w:rsidRDefault="001C1A38" w:rsidP="001C1A38">
      <w:r>
        <w:t xml:space="preserve">  </w:t>
      </w:r>
    </w:p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AD5E45" w:rsidRDefault="00AD5E45" w:rsidP="001C1A38">
      <w:r>
        <w:rPr>
          <w:noProof/>
        </w:rPr>
        <w:drawing>
          <wp:anchor distT="0" distB="0" distL="114300" distR="114300" simplePos="0" relativeHeight="251660288" behindDoc="1" locked="0" layoutInCell="1" allowOverlap="1" wp14:anchorId="53EC1EA1" wp14:editId="245FD5FD">
            <wp:simplePos x="0" y="0"/>
            <wp:positionH relativeFrom="column">
              <wp:posOffset>280670</wp:posOffset>
            </wp:positionH>
            <wp:positionV relativeFrom="page">
              <wp:posOffset>895985</wp:posOffset>
            </wp:positionV>
            <wp:extent cx="2569845" cy="2569845"/>
            <wp:effectExtent l="38100" t="38100" r="97155" b="97155"/>
            <wp:wrapNone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256984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46B83513" wp14:editId="23D8EC40">
            <wp:simplePos x="0" y="0"/>
            <wp:positionH relativeFrom="column">
              <wp:posOffset>3462020</wp:posOffset>
            </wp:positionH>
            <wp:positionV relativeFrom="paragraph">
              <wp:posOffset>71120</wp:posOffset>
            </wp:positionV>
            <wp:extent cx="2569845" cy="2569845"/>
            <wp:effectExtent l="38100" t="38100" r="97155" b="97155"/>
            <wp:wrapNone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256984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AD5E45" w:rsidRDefault="00AD5E45" w:rsidP="001C1A38"/>
    <w:p w:rsidR="005A7873" w:rsidRDefault="005A7873" w:rsidP="001C1A38"/>
    <w:p w:rsidR="005A7873" w:rsidRDefault="005A7873" w:rsidP="001C1A38"/>
    <w:p w:rsidR="005A7873" w:rsidRDefault="005A7873" w:rsidP="001C1A38"/>
    <w:p w:rsidR="005A7873" w:rsidRDefault="005A7873" w:rsidP="001C1A38"/>
    <w:p w:rsidR="002A4150" w:rsidRDefault="002A4150" w:rsidP="001C1A38"/>
    <w:p w:rsidR="005A7873" w:rsidRPr="002A4150" w:rsidRDefault="002A4150" w:rsidP="001C1A38">
      <w:pPr>
        <w:rPr>
          <w:b/>
          <w:u w:val="single"/>
        </w:rPr>
      </w:pPr>
      <w:r>
        <w:rPr>
          <w:b/>
          <w:u w:val="single"/>
        </w:rPr>
        <w:t>Nehody cyklistů:</w:t>
      </w:r>
    </w:p>
    <w:p w:rsidR="005A7873" w:rsidRDefault="005A7873" w:rsidP="001C1A38"/>
    <w:p w:rsidR="005A7873" w:rsidRDefault="002A4150" w:rsidP="002A4150">
      <w:pPr>
        <w:jc w:val="both"/>
      </w:pPr>
      <w:r>
        <w:tab/>
        <w:t xml:space="preserve">V roce 2012 došlo na území hl. m. Prahy celkem k 179 nehodám, na kterých měli účast cyklisté. Při těchto nehodách nebyla žádná osoba usmrcena, 14 osob bylo zraněno těžce a 125 lehce. Oproti roku 2011 evidujeme pokles dopravních nehod za účasti cyklisty o 4 nehody, </w:t>
      </w:r>
      <w:r>
        <w:br/>
        <w:t xml:space="preserve">tj. o 2,2 %. </w:t>
      </w:r>
    </w:p>
    <w:p w:rsidR="002A4150" w:rsidRDefault="002A4150" w:rsidP="002A4150">
      <w:pPr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7"/>
        <w:gridCol w:w="987"/>
        <w:gridCol w:w="987"/>
        <w:gridCol w:w="987"/>
        <w:gridCol w:w="987"/>
        <w:gridCol w:w="987"/>
        <w:gridCol w:w="987"/>
      </w:tblGrid>
      <w:tr w:rsidR="002A4150" w:rsidRPr="002A4150" w:rsidTr="002A4150">
        <w:trPr>
          <w:trHeight w:val="585"/>
        </w:trPr>
        <w:tc>
          <w:tcPr>
            <w:tcW w:w="226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s účastí cyklistů; </w:t>
            </w:r>
            <w:r w:rsidRPr="002A4150">
              <w:rPr>
                <w:rFonts w:cs="Arial"/>
                <w:sz w:val="16"/>
                <w:szCs w:val="16"/>
              </w:rPr>
              <w:t>2007 - 2012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2007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2008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2009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2010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</w:tr>
      <w:tr w:rsidR="002A4150" w:rsidRPr="002A4150" w:rsidTr="002A4150">
        <w:trPr>
          <w:trHeight w:val="390"/>
        </w:trPr>
        <w:tc>
          <w:tcPr>
            <w:tcW w:w="22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nehod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183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179</w:t>
            </w:r>
          </w:p>
        </w:tc>
      </w:tr>
    </w:tbl>
    <w:p w:rsidR="002A4150" w:rsidRDefault="002A4150" w:rsidP="002A4150">
      <w:pPr>
        <w:jc w:val="both"/>
      </w:pPr>
    </w:p>
    <w:p w:rsidR="002A4150" w:rsidRDefault="002A4150" w:rsidP="001C1A38"/>
    <w:p w:rsidR="002A4150" w:rsidRDefault="002A4150" w:rsidP="001C1A38">
      <w:r>
        <w:rPr>
          <w:noProof/>
        </w:rPr>
        <w:drawing>
          <wp:inline distT="0" distB="0" distL="0" distR="0" wp14:anchorId="4B60C3A6" wp14:editId="2E361FE6">
            <wp:extent cx="6090699" cy="3411110"/>
            <wp:effectExtent l="38100" t="38100" r="100965" b="94615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A4150" w:rsidRDefault="002A4150" w:rsidP="001C1A38"/>
    <w:p w:rsidR="002A4150" w:rsidRDefault="002A4150" w:rsidP="002A4150">
      <w:pPr>
        <w:jc w:val="both"/>
      </w:pPr>
      <w:r>
        <w:lastRenderedPageBreak/>
        <w:tab/>
        <w:t xml:space="preserve">Cyklisté zavinili celkem 92 nehod, 78 nehod zavinili řidiči motorových vozidel, 6 nehod chodci, dvě nehody byly zaviněny domácím zvířetem a 1 nehoda byla zaviněna jiným účastníkem. </w:t>
      </w:r>
    </w:p>
    <w:p w:rsidR="002A4150" w:rsidRDefault="002A4150" w:rsidP="002A4150">
      <w:pPr>
        <w:jc w:val="both"/>
      </w:pP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3"/>
        <w:gridCol w:w="866"/>
        <w:gridCol w:w="866"/>
        <w:gridCol w:w="866"/>
        <w:gridCol w:w="866"/>
        <w:gridCol w:w="866"/>
        <w:gridCol w:w="866"/>
      </w:tblGrid>
      <w:tr w:rsidR="002A4150" w:rsidRPr="002A4150" w:rsidTr="002A4150">
        <w:trPr>
          <w:trHeight w:val="680"/>
        </w:trPr>
        <w:tc>
          <w:tcPr>
            <w:tcW w:w="400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Nehody cyklistů podle zavinění; </w:t>
            </w:r>
            <w:r w:rsidRPr="002A4150">
              <w:rPr>
                <w:rFonts w:cs="Arial"/>
                <w:color w:val="FFFFFF"/>
                <w:sz w:val="16"/>
                <w:szCs w:val="16"/>
              </w:rPr>
              <w:t>2007 - 2012</w:t>
            </w:r>
          </w:p>
        </w:tc>
        <w:tc>
          <w:tcPr>
            <w:tcW w:w="7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2007</w:t>
            </w:r>
          </w:p>
        </w:tc>
        <w:tc>
          <w:tcPr>
            <w:tcW w:w="7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2008</w:t>
            </w:r>
          </w:p>
        </w:tc>
        <w:tc>
          <w:tcPr>
            <w:tcW w:w="7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2009</w:t>
            </w:r>
          </w:p>
        </w:tc>
        <w:tc>
          <w:tcPr>
            <w:tcW w:w="7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2010</w:t>
            </w:r>
          </w:p>
        </w:tc>
        <w:tc>
          <w:tcPr>
            <w:tcW w:w="7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78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</w:tr>
      <w:tr w:rsidR="002A4150" w:rsidRPr="002A4150" w:rsidTr="002A4150">
        <w:trPr>
          <w:trHeight w:val="340"/>
        </w:trPr>
        <w:tc>
          <w:tcPr>
            <w:tcW w:w="400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řidičem motorového vozidla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78</w:t>
            </w:r>
          </w:p>
        </w:tc>
      </w:tr>
      <w:tr w:rsidR="002A4150" w:rsidRPr="002A4150" w:rsidTr="002A4150">
        <w:trPr>
          <w:trHeight w:val="340"/>
        </w:trPr>
        <w:tc>
          <w:tcPr>
            <w:tcW w:w="4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řidičem nemotorového vozidla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nil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92</w:t>
            </w:r>
          </w:p>
        </w:tc>
      </w:tr>
      <w:tr w:rsidR="002A4150" w:rsidRPr="002A4150" w:rsidTr="002A4150">
        <w:trPr>
          <w:trHeight w:val="340"/>
        </w:trPr>
        <w:tc>
          <w:tcPr>
            <w:tcW w:w="400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chodcem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6</w:t>
            </w:r>
          </w:p>
        </w:tc>
      </w:tr>
      <w:tr w:rsidR="002A4150" w:rsidRPr="002A4150" w:rsidTr="002A4150">
        <w:trPr>
          <w:trHeight w:val="340"/>
        </w:trPr>
        <w:tc>
          <w:tcPr>
            <w:tcW w:w="4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jiné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nil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</w:t>
            </w:r>
          </w:p>
        </w:tc>
      </w:tr>
      <w:tr w:rsidR="002A4150" w:rsidRPr="002A4150" w:rsidTr="002A4150">
        <w:trPr>
          <w:trHeight w:val="340"/>
        </w:trPr>
        <w:tc>
          <w:tcPr>
            <w:tcW w:w="400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závadou komunikace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</w:tr>
      <w:tr w:rsidR="002A4150" w:rsidRPr="002A4150" w:rsidTr="002A4150">
        <w:trPr>
          <w:trHeight w:val="340"/>
        </w:trPr>
        <w:tc>
          <w:tcPr>
            <w:tcW w:w="40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domácím zvířetem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494529"/>
              <w:right w:val="nil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2</w:t>
            </w:r>
          </w:p>
        </w:tc>
      </w:tr>
    </w:tbl>
    <w:p w:rsidR="002A4150" w:rsidRDefault="002A4150" w:rsidP="001C1A38"/>
    <w:p w:rsidR="002A4150" w:rsidRDefault="002A4150" w:rsidP="001C1A38">
      <w:r>
        <w:tab/>
      </w:r>
    </w:p>
    <w:p w:rsidR="002A4150" w:rsidRDefault="002A4150" w:rsidP="002A4150">
      <w:pPr>
        <w:jc w:val="both"/>
      </w:pPr>
      <w:r>
        <w:tab/>
        <w:t>Nejčastější příčinou nehod s účastí cyklistů byl „nesprávný způsob jízdy“ (86 nehod), následují příčiny „nedání přednosti“ (70 nehod), „nepřiměřená rychlost“ (10 nehod) a „nesprávné předjíždění“ (3 nehody).</w:t>
      </w:r>
    </w:p>
    <w:p w:rsidR="002A4150" w:rsidRDefault="002A4150" w:rsidP="002A4150">
      <w:pPr>
        <w:jc w:val="both"/>
      </w:pPr>
      <w:r>
        <w:t xml:space="preserve"> </w:t>
      </w:r>
    </w:p>
    <w:tbl>
      <w:tblPr>
        <w:tblW w:w="96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7"/>
        <w:gridCol w:w="987"/>
        <w:gridCol w:w="987"/>
        <w:gridCol w:w="987"/>
        <w:gridCol w:w="987"/>
        <w:gridCol w:w="987"/>
        <w:gridCol w:w="987"/>
      </w:tblGrid>
      <w:tr w:rsidR="002A4150" w:rsidRPr="002A4150" w:rsidTr="002A4150">
        <w:trPr>
          <w:trHeight w:val="680"/>
        </w:trPr>
        <w:tc>
          <w:tcPr>
            <w:tcW w:w="2260" w:type="dxa"/>
            <w:tcBorders>
              <w:top w:val="single" w:sz="4" w:space="0" w:color="FFFFFF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 xml:space="preserve">Příčiny nehod cyklistů; 2007-2012 </w:t>
            </w:r>
            <w:r w:rsidRPr="002A4150">
              <w:rPr>
                <w:rFonts w:cs="Arial"/>
                <w:sz w:val="16"/>
                <w:szCs w:val="16"/>
              </w:rPr>
              <w:t>(bez ohledu na zavinění nehody)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2007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2008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2009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2010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2011</w:t>
            </w:r>
          </w:p>
        </w:tc>
        <w:tc>
          <w:tcPr>
            <w:tcW w:w="600" w:type="dxa"/>
            <w:tcBorders>
              <w:top w:val="single" w:sz="4" w:space="0" w:color="FFFFFF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948A54"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2A4150">
              <w:rPr>
                <w:rFonts w:cs="Arial"/>
                <w:b/>
                <w:bCs/>
                <w:color w:val="FFFFFF"/>
                <w:sz w:val="16"/>
                <w:szCs w:val="16"/>
              </w:rPr>
              <w:t>2012</w:t>
            </w:r>
          </w:p>
        </w:tc>
      </w:tr>
      <w:tr w:rsidR="002A4150" w:rsidRPr="002A4150" w:rsidTr="002A4150">
        <w:trPr>
          <w:trHeight w:val="340"/>
        </w:trPr>
        <w:tc>
          <w:tcPr>
            <w:tcW w:w="22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nezaviněné řidičem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10</w:t>
            </w:r>
          </w:p>
        </w:tc>
      </w:tr>
      <w:tr w:rsidR="002A4150" w:rsidRPr="002A4150" w:rsidTr="002A4150">
        <w:trPr>
          <w:trHeight w:val="340"/>
        </w:trPr>
        <w:tc>
          <w:tcPr>
            <w:tcW w:w="226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nedání přednosti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70</w:t>
            </w:r>
          </w:p>
        </w:tc>
      </w:tr>
      <w:tr w:rsidR="002A4150" w:rsidRPr="002A4150" w:rsidTr="002A4150">
        <w:trPr>
          <w:trHeight w:val="340"/>
        </w:trPr>
        <w:tc>
          <w:tcPr>
            <w:tcW w:w="22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nepřiměřená rychlost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10</w:t>
            </w:r>
          </w:p>
        </w:tc>
      </w:tr>
      <w:tr w:rsidR="002A4150" w:rsidRPr="002A4150" w:rsidTr="002A4150">
        <w:trPr>
          <w:trHeight w:val="340"/>
        </w:trPr>
        <w:tc>
          <w:tcPr>
            <w:tcW w:w="2260" w:type="dxa"/>
            <w:tcBorders>
              <w:top w:val="nil"/>
              <w:left w:val="single" w:sz="4" w:space="0" w:color="FFFFFF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nesprávné předjíždění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494529"/>
              <w:right w:val="single" w:sz="4" w:space="0" w:color="FFFFFF"/>
            </w:tcBorders>
            <w:shd w:val="clear" w:color="000000" w:fill="C4BD97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3</w:t>
            </w:r>
          </w:p>
        </w:tc>
      </w:tr>
      <w:tr w:rsidR="002A4150" w:rsidRPr="002A4150" w:rsidTr="002A4150">
        <w:trPr>
          <w:trHeight w:val="340"/>
        </w:trPr>
        <w:tc>
          <w:tcPr>
            <w:tcW w:w="22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nesprávný způsob jízdy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D9C4"/>
            <w:noWrap/>
            <w:vAlign w:val="center"/>
            <w:hideMark/>
          </w:tcPr>
          <w:p w:rsidR="002A4150" w:rsidRPr="002A4150" w:rsidRDefault="002A4150" w:rsidP="002A4150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A4150">
              <w:rPr>
                <w:rFonts w:cs="Arial"/>
                <w:sz w:val="16"/>
                <w:szCs w:val="16"/>
              </w:rPr>
              <w:t>86</w:t>
            </w:r>
          </w:p>
        </w:tc>
      </w:tr>
    </w:tbl>
    <w:p w:rsidR="00653E03" w:rsidRDefault="00653E03" w:rsidP="001C1A38"/>
    <w:p w:rsidR="00653E03" w:rsidRDefault="00653E03" w:rsidP="001C1A38"/>
    <w:p w:rsidR="002A4150" w:rsidRDefault="00653E03" w:rsidP="00653E03">
      <w:pPr>
        <w:ind w:firstLine="708"/>
        <w:jc w:val="both"/>
      </w:pPr>
      <w:r>
        <w:t>U nehod, kdy byl cyklista poškozeným, je nejčastější příčinou „nedání přednosti“ (53 nehod). U nehod zaviněných cyklisty je nejčastější příčinou „nesprávný způsob jízdy“ (65 nehod).</w:t>
      </w:r>
    </w:p>
    <w:p w:rsidR="00653E03" w:rsidRDefault="00653E03" w:rsidP="00653E03">
      <w:pPr>
        <w:ind w:firstLine="708"/>
        <w:jc w:val="both"/>
      </w:pPr>
    </w:p>
    <w:p w:rsidR="00653E03" w:rsidRDefault="00653E03" w:rsidP="00653E03">
      <w:pPr>
        <w:ind w:firstLine="708"/>
        <w:jc w:val="both"/>
      </w:pPr>
    </w:p>
    <w:p w:rsidR="001C1A38" w:rsidRPr="00896C8E" w:rsidRDefault="001C1A38" w:rsidP="001C1A38">
      <w:pPr>
        <w:rPr>
          <w:sz w:val="18"/>
          <w:szCs w:val="18"/>
        </w:rPr>
      </w:pPr>
      <w:r w:rsidRPr="00896C8E">
        <w:rPr>
          <w:sz w:val="18"/>
          <w:szCs w:val="18"/>
        </w:rPr>
        <w:t xml:space="preserve">Zpracoval: </w:t>
      </w:r>
      <w:r>
        <w:rPr>
          <w:sz w:val="18"/>
          <w:szCs w:val="18"/>
        </w:rPr>
        <w:tab/>
      </w:r>
      <w:r w:rsidRPr="00896C8E">
        <w:rPr>
          <w:sz w:val="18"/>
          <w:szCs w:val="18"/>
        </w:rPr>
        <w:t>kpt. Bc. Jan STRAKA</w:t>
      </w:r>
    </w:p>
    <w:p w:rsidR="001C1A38" w:rsidRPr="00896C8E" w:rsidRDefault="001C1A38" w:rsidP="001C1A38">
      <w:pPr>
        <w:ind w:left="708" w:firstLine="708"/>
        <w:rPr>
          <w:sz w:val="18"/>
          <w:szCs w:val="18"/>
        </w:rPr>
      </w:pPr>
      <w:r w:rsidRPr="00896C8E">
        <w:rPr>
          <w:sz w:val="18"/>
          <w:szCs w:val="18"/>
        </w:rPr>
        <w:t xml:space="preserve">tel.: </w:t>
      </w:r>
      <w:r>
        <w:rPr>
          <w:sz w:val="18"/>
          <w:szCs w:val="18"/>
        </w:rPr>
        <w:t xml:space="preserve">974 </w:t>
      </w:r>
      <w:r w:rsidRPr="00896C8E">
        <w:rPr>
          <w:sz w:val="18"/>
          <w:szCs w:val="18"/>
        </w:rPr>
        <w:t>825</w:t>
      </w:r>
      <w:r>
        <w:rPr>
          <w:sz w:val="18"/>
          <w:szCs w:val="18"/>
        </w:rPr>
        <w:t> </w:t>
      </w:r>
      <w:r w:rsidRPr="00896C8E">
        <w:rPr>
          <w:sz w:val="18"/>
          <w:szCs w:val="18"/>
        </w:rPr>
        <w:t>821</w:t>
      </w:r>
    </w:p>
    <w:p w:rsidR="00370952" w:rsidRDefault="00370952" w:rsidP="00435680"/>
    <w:p w:rsidR="00E321D9" w:rsidRDefault="00E321D9" w:rsidP="00435680"/>
    <w:sectPr w:rsidR="00E321D9" w:rsidSect="00375C74">
      <w:footerReference w:type="default" r:id="rId27"/>
      <w:headerReference w:type="first" r:id="rId28"/>
      <w:footerReference w:type="first" r:id="rId29"/>
      <w:type w:val="continuous"/>
      <w:pgSz w:w="11906" w:h="16838" w:code="9"/>
      <w:pgMar w:top="775" w:right="851" w:bottom="1418" w:left="1361" w:header="556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817" w:rsidRDefault="00B31817">
      <w:r>
        <w:separator/>
      </w:r>
    </w:p>
  </w:endnote>
  <w:endnote w:type="continuationSeparator" w:id="0">
    <w:p w:rsidR="00B31817" w:rsidRDefault="00B31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5412849"/>
      <w:docPartObj>
        <w:docPartGallery w:val="Page Numbers (Bottom of Page)"/>
        <w:docPartUnique/>
      </w:docPartObj>
    </w:sdtPr>
    <w:sdtEndPr/>
    <w:sdtContent>
      <w:p w:rsidR="00375C74" w:rsidRDefault="00375C74">
        <w:pPr>
          <w:pStyle w:val="Zpa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editId="0DF8EF2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8" name="Obdélník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5C74" w:rsidRDefault="00375C7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02E6B" w:rsidRPr="00802E6B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Obdélník 8" o:spid="_x0000_s1026" style="position:absolute;left:0;text-align:left;margin-left:0;margin-top:0;width:44.55pt;height:15.1pt;rotation:180;flip:x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" filled="f" fillcolor="#c0504d" stroked="f" strokecolor="#5c83b4" strokeweight="2.25pt">
                  <v:textbox inset=",0,,0">
                    <w:txbxContent>
                      <w:p w:rsidR="00375C74" w:rsidRDefault="00375C7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802E6B" w:rsidRPr="00802E6B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850219652"/>
      <w:docPartObj>
        <w:docPartGallery w:val="Page Numbers (Bottom of Page)"/>
        <w:docPartUnique/>
      </w:docPartObj>
    </w:sdtPr>
    <w:sdtEndPr/>
    <w:sdtContent>
      <w:p w:rsidR="002A4150" w:rsidRPr="005276A6" w:rsidRDefault="00375C74">
        <w:pPr>
          <w:pStyle w:val="Zpat"/>
          <w:rPr>
            <w:sz w:val="20"/>
            <w:szCs w:val="20"/>
          </w:rPr>
        </w:pPr>
        <w:r w:rsidRPr="00375C74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69AC1AC9" wp14:editId="0A8C73E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Obdélní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5C74" w:rsidRDefault="00375C7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02E6B" w:rsidRPr="00802E6B">
                                <w:rPr>
                                  <w:noProof/>
                                  <w:color w:val="C0504D" w:themeColor="accent2"/>
                                </w:rPr>
                                <w:t>1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Obdélník 650" o:spid="_x0000_s1027" style="position:absolute;left:0;text-align:left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" filled="f" fillcolor="#c0504d" stroked="f" strokecolor="#5c83b4" strokeweight="2.25pt">
                  <v:textbox inset=",0,,0">
                    <w:txbxContent>
                      <w:p w:rsidR="00375C74" w:rsidRDefault="00375C7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802E6B" w:rsidRPr="00802E6B">
                          <w:rPr>
                            <w:noProof/>
                            <w:color w:val="C0504D" w:themeColor="accent2"/>
                          </w:rPr>
                          <w:t>1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817" w:rsidRDefault="00B31817">
      <w:r>
        <w:separator/>
      </w:r>
    </w:p>
  </w:footnote>
  <w:footnote w:type="continuationSeparator" w:id="0">
    <w:p w:rsidR="00B31817" w:rsidRDefault="00B31817">
      <w:r>
        <w:continuationSeparator/>
      </w:r>
    </w:p>
  </w:footnote>
  <w:footnote w:id="1">
    <w:p w:rsidR="002A4150" w:rsidRPr="00D3243D" w:rsidRDefault="002A4150" w:rsidP="003169E2">
      <w:pPr>
        <w:pStyle w:val="Textpoznpodarou"/>
        <w:rPr>
          <w:rFonts w:cs="Arial"/>
          <w:sz w:val="16"/>
          <w:szCs w:val="16"/>
        </w:rPr>
      </w:pPr>
      <w:r w:rsidRPr="00D3243D">
        <w:rPr>
          <w:rStyle w:val="Znakapoznpodarou"/>
          <w:rFonts w:cs="Arial"/>
        </w:rPr>
        <w:footnoteRef/>
      </w:r>
      <w:r w:rsidRPr="00D3243D">
        <w:rPr>
          <w:rFonts w:cs="Arial"/>
          <w:sz w:val="16"/>
          <w:szCs w:val="16"/>
        </w:rPr>
        <w:t xml:space="preserve"> Pro statistické účely se za usmrcenou osobu považuje osoba, která zemřela na místě dopravní nehody nebo nejpozději do 24 hodin po nehodě v nemocnici.</w:t>
      </w:r>
    </w:p>
  </w:footnote>
  <w:footnote w:id="2">
    <w:p w:rsidR="002A4150" w:rsidRDefault="002A4150" w:rsidP="001C1A38">
      <w:pPr>
        <w:pStyle w:val="Textpoznpodarou"/>
      </w:pPr>
      <w:r>
        <w:rPr>
          <w:rStyle w:val="Znakapoznpodarou"/>
        </w:rPr>
        <w:footnoteRef/>
      </w:r>
      <w:r>
        <w:t xml:space="preserve"> místa s nejvyšším počtem nehod jsou zjišťována podle řádkového výpisu nehod se souřadnicemi GPS.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47"/>
      <w:gridCol w:w="170"/>
      <w:gridCol w:w="6407"/>
      <w:gridCol w:w="2268"/>
    </w:tblGrid>
    <w:tr w:rsidR="002A4150" w:rsidTr="001E62C2">
      <w:trPr>
        <w:trHeight w:val="879"/>
      </w:trPr>
      <w:tc>
        <w:tcPr>
          <w:tcW w:w="1247" w:type="dxa"/>
        </w:tcPr>
        <w:p w:rsidR="002A4150" w:rsidRDefault="002A4150" w:rsidP="00776A76">
          <w:pPr>
            <w:pStyle w:val="Zhlav"/>
          </w:pPr>
        </w:p>
      </w:tc>
      <w:tc>
        <w:tcPr>
          <w:tcW w:w="170" w:type="dxa"/>
          <w:tcBorders>
            <w:left w:val="nil"/>
          </w:tcBorders>
        </w:tcPr>
        <w:p w:rsidR="002A4150" w:rsidRPr="00BD37AC" w:rsidRDefault="002A4150" w:rsidP="00776A76">
          <w:pPr>
            <w:pStyle w:val="Zhlav"/>
          </w:pPr>
        </w:p>
      </w:tc>
      <w:tc>
        <w:tcPr>
          <w:tcW w:w="6407" w:type="dxa"/>
          <w:vAlign w:val="center"/>
        </w:tcPr>
        <w:p w:rsidR="002A4150" w:rsidRPr="005276A6" w:rsidRDefault="002A4150" w:rsidP="009229FB">
          <w:pPr>
            <w:pStyle w:val="Zhlav"/>
            <w:rPr>
              <w:sz w:val="20"/>
              <w:szCs w:val="20"/>
            </w:rPr>
          </w:pPr>
          <w:r w:rsidRPr="005276A6">
            <w:rPr>
              <w:sz w:val="20"/>
              <w:szCs w:val="20"/>
            </w:rPr>
            <w:t>POLICIE ČESKÉ REPUBLIKY</w:t>
          </w:r>
        </w:p>
        <w:p w:rsidR="002A4150" w:rsidRPr="005276A6" w:rsidRDefault="002A4150" w:rsidP="009229FB">
          <w:pPr>
            <w:pStyle w:val="Zhlav"/>
            <w:rPr>
              <w:sz w:val="20"/>
              <w:szCs w:val="20"/>
            </w:rPr>
          </w:pPr>
          <w:r w:rsidRPr="005276A6">
            <w:rPr>
              <w:sz w:val="20"/>
              <w:szCs w:val="20"/>
            </w:rPr>
            <w:t>KRAJSKÉ ŘEDITELSTVÍ POLICIE HLAVNÍHO MĚSTA PRAHY</w:t>
          </w:r>
        </w:p>
      </w:tc>
      <w:tc>
        <w:tcPr>
          <w:tcW w:w="2268" w:type="dxa"/>
          <w:vMerge w:val="restart"/>
          <w:vAlign w:val="bottom"/>
        </w:tcPr>
        <w:p w:rsidR="002A4150" w:rsidRDefault="002A4150" w:rsidP="001E62C2">
          <w:pPr>
            <w:pStyle w:val="Zhlav"/>
            <w:jc w:val="right"/>
          </w:pPr>
          <w:r>
            <w:rPr>
              <w:caps w:val="0"/>
              <w:noProof/>
            </w:rPr>
            <w:drawing>
              <wp:anchor distT="0" distB="0" distL="114300" distR="114300" simplePos="0" relativeHeight="251659264" behindDoc="0" locked="0" layoutInCell="1" allowOverlap="1" wp14:anchorId="059524AA" wp14:editId="45AC4774">
                <wp:simplePos x="0" y="0"/>
                <wp:positionH relativeFrom="column">
                  <wp:posOffset>735965</wp:posOffset>
                </wp:positionH>
                <wp:positionV relativeFrom="paragraph">
                  <wp:posOffset>-619760</wp:posOffset>
                </wp:positionV>
                <wp:extent cx="471805" cy="533400"/>
                <wp:effectExtent l="19050" t="0" r="4445" b="0"/>
                <wp:wrapNone/>
                <wp:docPr id="4" name="obrázek 42" descr="01znak_SHL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42" descr="01znak_SHL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80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2A4150" w:rsidTr="001E62C2">
      <w:trPr>
        <w:trHeight w:val="658"/>
      </w:trPr>
      <w:tc>
        <w:tcPr>
          <w:tcW w:w="1247" w:type="dxa"/>
        </w:tcPr>
        <w:p w:rsidR="002A4150" w:rsidRDefault="002A4150" w:rsidP="00776A76">
          <w:pPr>
            <w:pStyle w:val="Zhlav"/>
          </w:pPr>
        </w:p>
      </w:tc>
      <w:tc>
        <w:tcPr>
          <w:tcW w:w="170" w:type="dxa"/>
          <w:tcBorders>
            <w:left w:val="nil"/>
          </w:tcBorders>
        </w:tcPr>
        <w:p w:rsidR="002A4150" w:rsidRPr="00BD37AC" w:rsidRDefault="002A4150" w:rsidP="00652F98">
          <w:pPr>
            <w:pStyle w:val="Zhlav"/>
          </w:pPr>
        </w:p>
      </w:tc>
      <w:tc>
        <w:tcPr>
          <w:tcW w:w="6407" w:type="dxa"/>
          <w:vAlign w:val="bottom"/>
        </w:tcPr>
        <w:p w:rsidR="002A4150" w:rsidRPr="005276A6" w:rsidRDefault="002A4150" w:rsidP="009229FB">
          <w:pPr>
            <w:pStyle w:val="Zahlavi2"/>
            <w:rPr>
              <w:sz w:val="20"/>
              <w:szCs w:val="20"/>
            </w:rPr>
          </w:pPr>
          <w:r w:rsidRPr="005276A6">
            <w:rPr>
              <w:sz w:val="20"/>
              <w:szCs w:val="20"/>
            </w:rPr>
            <w:t>Odbor služby dopravní policie</w:t>
          </w:r>
        </w:p>
        <w:p w:rsidR="002A4150" w:rsidRPr="005276A6" w:rsidRDefault="002A4150" w:rsidP="005B2342">
          <w:pPr>
            <w:pStyle w:val="Zahlavi3"/>
            <w:rPr>
              <w:sz w:val="20"/>
              <w:szCs w:val="20"/>
            </w:rPr>
          </w:pPr>
        </w:p>
      </w:tc>
      <w:tc>
        <w:tcPr>
          <w:tcW w:w="2268" w:type="dxa"/>
          <w:vMerge/>
          <w:vAlign w:val="bottom"/>
        </w:tcPr>
        <w:p w:rsidR="002A4150" w:rsidRDefault="002A4150" w:rsidP="001E62C2">
          <w:pPr>
            <w:pStyle w:val="Zhlav"/>
            <w:jc w:val="right"/>
          </w:pPr>
        </w:p>
      </w:tc>
    </w:tr>
    <w:tr w:rsidR="002A4150" w:rsidTr="00FC6589">
      <w:trPr>
        <w:trHeight w:hRule="exact" w:val="249"/>
      </w:trPr>
      <w:tc>
        <w:tcPr>
          <w:tcW w:w="10092" w:type="dxa"/>
          <w:gridSpan w:val="4"/>
        </w:tcPr>
        <w:p w:rsidR="002A4150" w:rsidRDefault="002A4150" w:rsidP="001E62C2">
          <w:pPr>
            <w:pStyle w:val="Zhlav"/>
            <w:jc w:val="right"/>
          </w:pPr>
        </w:p>
      </w:tc>
    </w:tr>
  </w:tbl>
  <w:p w:rsidR="002A4150" w:rsidRDefault="002A4150">
    <w:pPr>
      <w:pStyle w:val="Zhlav"/>
    </w:pPr>
    <w:r>
      <w:rPr>
        <w:caps w:val="0"/>
        <w:noProof/>
      </w:rPr>
      <w:drawing>
        <wp:anchor distT="0" distB="0" distL="114300" distR="114300" simplePos="0" relativeHeight="251658240" behindDoc="0" locked="1" layoutInCell="1" allowOverlap="1" wp14:anchorId="7D3E01BB" wp14:editId="4ED565E8">
          <wp:simplePos x="0" y="0"/>
          <wp:positionH relativeFrom="page">
            <wp:posOffset>306070</wp:posOffset>
          </wp:positionH>
          <wp:positionV relativeFrom="page">
            <wp:posOffset>349885</wp:posOffset>
          </wp:positionV>
          <wp:extent cx="1352550" cy="962025"/>
          <wp:effectExtent l="19050" t="0" r="0" b="0"/>
          <wp:wrapNone/>
          <wp:docPr id="3" name="obrázek 34" descr="logo_barva_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4" descr="logo_barva_v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aps w:val="0"/>
        <w:noProof/>
      </w:rPr>
      <w:drawing>
        <wp:anchor distT="0" distB="0" distL="114300" distR="114300" simplePos="0" relativeHeight="251656192" behindDoc="0" locked="1" layoutInCell="1" allowOverlap="1" wp14:anchorId="6BB36299" wp14:editId="5BDA884F">
          <wp:simplePos x="0" y="0"/>
          <wp:positionH relativeFrom="page">
            <wp:posOffset>306070</wp:posOffset>
          </wp:positionH>
          <wp:positionV relativeFrom="page">
            <wp:posOffset>1595120</wp:posOffset>
          </wp:positionV>
          <wp:extent cx="6948170" cy="73025"/>
          <wp:effectExtent l="19050" t="0" r="5080" b="0"/>
          <wp:wrapNone/>
          <wp:docPr id="2" name="obrázek 3" descr="pruh_nahore_mod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pruh_nahore_modra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8170" cy="73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6"/>
      </v:shape>
    </w:pict>
  </w:numPicBullet>
  <w:numPicBullet w:numPicBulletId="1">
    <w:pict>
      <v:shape id="_x0000_i1029" type="#_x0000_t75" style="width:13.75pt;height:13.75pt" o:bullet="t">
        <v:imagedata r:id="rId2" o:title="odrážka"/>
      </v:shape>
    </w:pict>
  </w:numPicBullet>
  <w:abstractNum w:abstractNumId="0">
    <w:nsid w:val="09AA61EF"/>
    <w:multiLevelType w:val="hybridMultilevel"/>
    <w:tmpl w:val="CF9653BC"/>
    <w:lvl w:ilvl="0" w:tplc="098462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0E63AA"/>
    <w:multiLevelType w:val="hybridMultilevel"/>
    <w:tmpl w:val="80826352"/>
    <w:lvl w:ilvl="0" w:tplc="27C0689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A07F1"/>
    <w:multiLevelType w:val="hybridMultilevel"/>
    <w:tmpl w:val="9654BBF0"/>
    <w:lvl w:ilvl="0" w:tplc="098462A2">
      <w:start w:val="1"/>
      <w:numFmt w:val="bullet"/>
      <w:lvlText w:val=""/>
      <w:lvlPicBulletId w:val="0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">
    <w:nsid w:val="211E3F4F"/>
    <w:multiLevelType w:val="hybridMultilevel"/>
    <w:tmpl w:val="5D5A9DF8"/>
    <w:lvl w:ilvl="0" w:tplc="27C0689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DD4E8F20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80908"/>
    <w:multiLevelType w:val="hybridMultilevel"/>
    <w:tmpl w:val="59C41544"/>
    <w:lvl w:ilvl="0" w:tplc="098462A2">
      <w:start w:val="1"/>
      <w:numFmt w:val="bullet"/>
      <w:lvlText w:val=""/>
      <w:lvlPicBulletId w:val="0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">
    <w:nsid w:val="68AF5AC9"/>
    <w:multiLevelType w:val="hybridMultilevel"/>
    <w:tmpl w:val="E7265C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8462A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6bfd9,#1d1d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211"/>
    <w:rsid w:val="000047C7"/>
    <w:rsid w:val="000052BB"/>
    <w:rsid w:val="00027D54"/>
    <w:rsid w:val="000332D2"/>
    <w:rsid w:val="00044AE9"/>
    <w:rsid w:val="00062900"/>
    <w:rsid w:val="000A40AC"/>
    <w:rsid w:val="000A5824"/>
    <w:rsid w:val="000E0815"/>
    <w:rsid w:val="000E55AB"/>
    <w:rsid w:val="000E61D3"/>
    <w:rsid w:val="000E7DAC"/>
    <w:rsid w:val="000F1117"/>
    <w:rsid w:val="001041B1"/>
    <w:rsid w:val="00104F4D"/>
    <w:rsid w:val="0012168C"/>
    <w:rsid w:val="00126A7D"/>
    <w:rsid w:val="0012713E"/>
    <w:rsid w:val="00135590"/>
    <w:rsid w:val="001549E2"/>
    <w:rsid w:val="00157294"/>
    <w:rsid w:val="001854E0"/>
    <w:rsid w:val="001A5D97"/>
    <w:rsid w:val="001C1A38"/>
    <w:rsid w:val="001C4E5C"/>
    <w:rsid w:val="001D7E52"/>
    <w:rsid w:val="001E2E5C"/>
    <w:rsid w:val="001E62C2"/>
    <w:rsid w:val="001F3DA8"/>
    <w:rsid w:val="002140EF"/>
    <w:rsid w:val="002251B6"/>
    <w:rsid w:val="00234711"/>
    <w:rsid w:val="00245CC2"/>
    <w:rsid w:val="00252034"/>
    <w:rsid w:val="00280D51"/>
    <w:rsid w:val="002922AA"/>
    <w:rsid w:val="002A4150"/>
    <w:rsid w:val="002B2C80"/>
    <w:rsid w:val="002B3B5B"/>
    <w:rsid w:val="002B3D14"/>
    <w:rsid w:val="002B5655"/>
    <w:rsid w:val="002C65D1"/>
    <w:rsid w:val="002F26B3"/>
    <w:rsid w:val="00301A84"/>
    <w:rsid w:val="003104BE"/>
    <w:rsid w:val="00315461"/>
    <w:rsid w:val="003155FB"/>
    <w:rsid w:val="003169E2"/>
    <w:rsid w:val="00317F7A"/>
    <w:rsid w:val="00327601"/>
    <w:rsid w:val="00331914"/>
    <w:rsid w:val="003468E0"/>
    <w:rsid w:val="00367204"/>
    <w:rsid w:val="00370952"/>
    <w:rsid w:val="00375C74"/>
    <w:rsid w:val="00391DF4"/>
    <w:rsid w:val="003C3BDD"/>
    <w:rsid w:val="003D1D33"/>
    <w:rsid w:val="003E151B"/>
    <w:rsid w:val="003F27BE"/>
    <w:rsid w:val="003F6B4D"/>
    <w:rsid w:val="0040148B"/>
    <w:rsid w:val="004026A4"/>
    <w:rsid w:val="00404627"/>
    <w:rsid w:val="0041686E"/>
    <w:rsid w:val="00431E41"/>
    <w:rsid w:val="00435680"/>
    <w:rsid w:val="00463F54"/>
    <w:rsid w:val="0047164C"/>
    <w:rsid w:val="004B2281"/>
    <w:rsid w:val="004C4811"/>
    <w:rsid w:val="00514A0D"/>
    <w:rsid w:val="00516157"/>
    <w:rsid w:val="005214B2"/>
    <w:rsid w:val="005276A6"/>
    <w:rsid w:val="0055257C"/>
    <w:rsid w:val="00560D2C"/>
    <w:rsid w:val="005704DF"/>
    <w:rsid w:val="00597E49"/>
    <w:rsid w:val="005A2A8F"/>
    <w:rsid w:val="005A4B1E"/>
    <w:rsid w:val="005A7873"/>
    <w:rsid w:val="005B1BF0"/>
    <w:rsid w:val="005B2342"/>
    <w:rsid w:val="005C304F"/>
    <w:rsid w:val="005D178E"/>
    <w:rsid w:val="005F2A9A"/>
    <w:rsid w:val="0060213D"/>
    <w:rsid w:val="00602271"/>
    <w:rsid w:val="006155C9"/>
    <w:rsid w:val="00637F0A"/>
    <w:rsid w:val="00651A88"/>
    <w:rsid w:val="00652F98"/>
    <w:rsid w:val="00653E03"/>
    <w:rsid w:val="00676F77"/>
    <w:rsid w:val="00685018"/>
    <w:rsid w:val="006867E9"/>
    <w:rsid w:val="006972EE"/>
    <w:rsid w:val="0069769B"/>
    <w:rsid w:val="006A4088"/>
    <w:rsid w:val="006B22CD"/>
    <w:rsid w:val="006D6DDF"/>
    <w:rsid w:val="006E5550"/>
    <w:rsid w:val="006E701B"/>
    <w:rsid w:val="00715110"/>
    <w:rsid w:val="00721054"/>
    <w:rsid w:val="007351CF"/>
    <w:rsid w:val="00751C5B"/>
    <w:rsid w:val="007559EC"/>
    <w:rsid w:val="00760045"/>
    <w:rsid w:val="00776A76"/>
    <w:rsid w:val="007775ED"/>
    <w:rsid w:val="00780164"/>
    <w:rsid w:val="00781A41"/>
    <w:rsid w:val="00790B69"/>
    <w:rsid w:val="007B2281"/>
    <w:rsid w:val="007B420C"/>
    <w:rsid w:val="007B5228"/>
    <w:rsid w:val="007B611F"/>
    <w:rsid w:val="007B66EF"/>
    <w:rsid w:val="007B79AD"/>
    <w:rsid w:val="007D3BD5"/>
    <w:rsid w:val="007D6265"/>
    <w:rsid w:val="007E5E5F"/>
    <w:rsid w:val="007E79BB"/>
    <w:rsid w:val="00802E6B"/>
    <w:rsid w:val="00804F75"/>
    <w:rsid w:val="0080750F"/>
    <w:rsid w:val="008111FC"/>
    <w:rsid w:val="00812E88"/>
    <w:rsid w:val="00813C5A"/>
    <w:rsid w:val="00816C23"/>
    <w:rsid w:val="008217E1"/>
    <w:rsid w:val="008359A1"/>
    <w:rsid w:val="00851385"/>
    <w:rsid w:val="008523A4"/>
    <w:rsid w:val="008531CB"/>
    <w:rsid w:val="00854807"/>
    <w:rsid w:val="0087268C"/>
    <w:rsid w:val="00873401"/>
    <w:rsid w:val="00875EEC"/>
    <w:rsid w:val="008A4690"/>
    <w:rsid w:val="008C6DFC"/>
    <w:rsid w:val="008D654A"/>
    <w:rsid w:val="009229FB"/>
    <w:rsid w:val="00927444"/>
    <w:rsid w:val="00961817"/>
    <w:rsid w:val="009627DF"/>
    <w:rsid w:val="00973CE7"/>
    <w:rsid w:val="00974B70"/>
    <w:rsid w:val="00984FDE"/>
    <w:rsid w:val="00987705"/>
    <w:rsid w:val="009911D2"/>
    <w:rsid w:val="00996AE6"/>
    <w:rsid w:val="009A2489"/>
    <w:rsid w:val="009B29E5"/>
    <w:rsid w:val="009C0CEA"/>
    <w:rsid w:val="009D714C"/>
    <w:rsid w:val="009E25BD"/>
    <w:rsid w:val="009E421E"/>
    <w:rsid w:val="009E43D8"/>
    <w:rsid w:val="009E4814"/>
    <w:rsid w:val="009E71E2"/>
    <w:rsid w:val="00A10CCF"/>
    <w:rsid w:val="00A2584A"/>
    <w:rsid w:val="00A34A74"/>
    <w:rsid w:val="00A538E0"/>
    <w:rsid w:val="00A94A4B"/>
    <w:rsid w:val="00AB4B5D"/>
    <w:rsid w:val="00AD0083"/>
    <w:rsid w:val="00AD1462"/>
    <w:rsid w:val="00AD3E70"/>
    <w:rsid w:val="00AD5E45"/>
    <w:rsid w:val="00AE56B1"/>
    <w:rsid w:val="00AE57A6"/>
    <w:rsid w:val="00AF0B13"/>
    <w:rsid w:val="00AF1211"/>
    <w:rsid w:val="00B05436"/>
    <w:rsid w:val="00B06C66"/>
    <w:rsid w:val="00B07E16"/>
    <w:rsid w:val="00B17289"/>
    <w:rsid w:val="00B31817"/>
    <w:rsid w:val="00B32083"/>
    <w:rsid w:val="00B37A48"/>
    <w:rsid w:val="00B43F44"/>
    <w:rsid w:val="00B61F18"/>
    <w:rsid w:val="00B77FF3"/>
    <w:rsid w:val="00B91C73"/>
    <w:rsid w:val="00B92FBE"/>
    <w:rsid w:val="00BA563D"/>
    <w:rsid w:val="00BC370E"/>
    <w:rsid w:val="00BD37AC"/>
    <w:rsid w:val="00BD40A3"/>
    <w:rsid w:val="00BD6E17"/>
    <w:rsid w:val="00BF6827"/>
    <w:rsid w:val="00C45BFA"/>
    <w:rsid w:val="00C570D4"/>
    <w:rsid w:val="00C57DBF"/>
    <w:rsid w:val="00C62690"/>
    <w:rsid w:val="00C74BA1"/>
    <w:rsid w:val="00CB0760"/>
    <w:rsid w:val="00CE279C"/>
    <w:rsid w:val="00D0446A"/>
    <w:rsid w:val="00D36ED5"/>
    <w:rsid w:val="00D4061F"/>
    <w:rsid w:val="00D50445"/>
    <w:rsid w:val="00D56255"/>
    <w:rsid w:val="00D77B9A"/>
    <w:rsid w:val="00D8544D"/>
    <w:rsid w:val="00D9194D"/>
    <w:rsid w:val="00D948C0"/>
    <w:rsid w:val="00DB0935"/>
    <w:rsid w:val="00E0224F"/>
    <w:rsid w:val="00E321D9"/>
    <w:rsid w:val="00E324F5"/>
    <w:rsid w:val="00E36C34"/>
    <w:rsid w:val="00E6173C"/>
    <w:rsid w:val="00EC7156"/>
    <w:rsid w:val="00ED3A34"/>
    <w:rsid w:val="00ED4B41"/>
    <w:rsid w:val="00F272C5"/>
    <w:rsid w:val="00F3616E"/>
    <w:rsid w:val="00F71EFB"/>
    <w:rsid w:val="00FA247B"/>
    <w:rsid w:val="00FA456D"/>
    <w:rsid w:val="00FB080A"/>
    <w:rsid w:val="00FB7A58"/>
    <w:rsid w:val="00FC3EBC"/>
    <w:rsid w:val="00FC6589"/>
    <w:rsid w:val="00FC71B4"/>
    <w:rsid w:val="00FE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6bfd9,#1d1d1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next w:val="Normln"/>
    <w:rsid w:val="00BA563D"/>
    <w:pPr>
      <w:tabs>
        <w:tab w:val="center" w:pos="4536"/>
        <w:tab w:val="right" w:pos="9072"/>
      </w:tabs>
      <w:spacing w:before="300" w:line="220" w:lineRule="atLeast"/>
    </w:pPr>
    <w:rPr>
      <w:caps/>
      <w:sz w:val="18"/>
    </w:rPr>
  </w:style>
  <w:style w:type="paragraph" w:styleId="Zpat">
    <w:name w:val="footer"/>
    <w:basedOn w:val="Normln"/>
    <w:link w:val="ZpatChar"/>
    <w:uiPriority w:val="99"/>
    <w:rsid w:val="007B5228"/>
    <w:pPr>
      <w:tabs>
        <w:tab w:val="center" w:pos="4536"/>
        <w:tab w:val="right" w:pos="9072"/>
      </w:tabs>
      <w:spacing w:line="180" w:lineRule="atLeast"/>
      <w:ind w:left="6861"/>
    </w:pPr>
    <w:rPr>
      <w:sz w:val="14"/>
    </w:rPr>
  </w:style>
  <w:style w:type="table" w:styleId="Mkatabulky">
    <w:name w:val="Table Grid"/>
    <w:basedOn w:val="Normlntabulka"/>
    <w:rsid w:val="00812E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hlavi3">
    <w:name w:val="Zahlavi_3"/>
    <w:basedOn w:val="Zhlav"/>
    <w:rsid w:val="001F3DA8"/>
    <w:pPr>
      <w:spacing w:before="0"/>
    </w:pPr>
    <w:rPr>
      <w:caps w:val="0"/>
      <w:sz w:val="14"/>
    </w:rPr>
  </w:style>
  <w:style w:type="paragraph" w:customStyle="1" w:styleId="Zahlavi2">
    <w:name w:val="Zahlavi_2"/>
    <w:basedOn w:val="Zhlav"/>
    <w:rsid w:val="001F3DA8"/>
    <w:pPr>
      <w:spacing w:before="0"/>
    </w:pPr>
    <w:rPr>
      <w:caps w:val="0"/>
    </w:rPr>
  </w:style>
  <w:style w:type="paragraph" w:customStyle="1" w:styleId="Zahlavi4">
    <w:name w:val="Zahlavi_4"/>
    <w:basedOn w:val="Zhlav"/>
    <w:rsid w:val="00BA563D"/>
    <w:pPr>
      <w:spacing w:before="0"/>
    </w:pPr>
  </w:style>
  <w:style w:type="character" w:styleId="Hypertextovodkaz">
    <w:name w:val="Hyperlink"/>
    <w:basedOn w:val="Standardnpsmoodstavce"/>
    <w:rsid w:val="003104BE"/>
    <w:rPr>
      <w:color w:val="0000FF"/>
      <w:u w:val="single"/>
    </w:rPr>
  </w:style>
  <w:style w:type="paragraph" w:styleId="Textpoznpodarou">
    <w:name w:val="footnote text"/>
    <w:basedOn w:val="Normln"/>
    <w:link w:val="TextpoznpodarouChar"/>
    <w:rsid w:val="0043568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35680"/>
    <w:rPr>
      <w:rFonts w:ascii="Arial" w:hAnsi="Arial"/>
    </w:rPr>
  </w:style>
  <w:style w:type="character" w:styleId="Znakapoznpodarou">
    <w:name w:val="footnote reference"/>
    <w:basedOn w:val="Standardnpsmoodstavce"/>
    <w:uiPriority w:val="99"/>
    <w:rsid w:val="00435680"/>
    <w:rPr>
      <w:vertAlign w:val="superscript"/>
    </w:rPr>
  </w:style>
  <w:style w:type="paragraph" w:styleId="Textbubliny">
    <w:name w:val="Balloon Text"/>
    <w:basedOn w:val="Normln"/>
    <w:link w:val="TextbublinyChar"/>
    <w:rsid w:val="000E7D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E7DAC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375C74"/>
    <w:rPr>
      <w:rFonts w:ascii="Arial" w:hAnsi="Arial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next w:val="Normln"/>
    <w:rsid w:val="00BA563D"/>
    <w:pPr>
      <w:tabs>
        <w:tab w:val="center" w:pos="4536"/>
        <w:tab w:val="right" w:pos="9072"/>
      </w:tabs>
      <w:spacing w:before="300" w:line="220" w:lineRule="atLeast"/>
    </w:pPr>
    <w:rPr>
      <w:caps/>
      <w:sz w:val="18"/>
    </w:rPr>
  </w:style>
  <w:style w:type="paragraph" w:styleId="Zpat">
    <w:name w:val="footer"/>
    <w:basedOn w:val="Normln"/>
    <w:link w:val="ZpatChar"/>
    <w:uiPriority w:val="99"/>
    <w:rsid w:val="007B5228"/>
    <w:pPr>
      <w:tabs>
        <w:tab w:val="center" w:pos="4536"/>
        <w:tab w:val="right" w:pos="9072"/>
      </w:tabs>
      <w:spacing w:line="180" w:lineRule="atLeast"/>
      <w:ind w:left="6861"/>
    </w:pPr>
    <w:rPr>
      <w:sz w:val="14"/>
    </w:rPr>
  </w:style>
  <w:style w:type="table" w:styleId="Mkatabulky">
    <w:name w:val="Table Grid"/>
    <w:basedOn w:val="Normlntabulka"/>
    <w:rsid w:val="00812E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hlavi3">
    <w:name w:val="Zahlavi_3"/>
    <w:basedOn w:val="Zhlav"/>
    <w:rsid w:val="001F3DA8"/>
    <w:pPr>
      <w:spacing w:before="0"/>
    </w:pPr>
    <w:rPr>
      <w:caps w:val="0"/>
      <w:sz w:val="14"/>
    </w:rPr>
  </w:style>
  <w:style w:type="paragraph" w:customStyle="1" w:styleId="Zahlavi2">
    <w:name w:val="Zahlavi_2"/>
    <w:basedOn w:val="Zhlav"/>
    <w:rsid w:val="001F3DA8"/>
    <w:pPr>
      <w:spacing w:before="0"/>
    </w:pPr>
    <w:rPr>
      <w:caps w:val="0"/>
    </w:rPr>
  </w:style>
  <w:style w:type="paragraph" w:customStyle="1" w:styleId="Zahlavi4">
    <w:name w:val="Zahlavi_4"/>
    <w:basedOn w:val="Zhlav"/>
    <w:rsid w:val="00BA563D"/>
    <w:pPr>
      <w:spacing w:before="0"/>
    </w:pPr>
  </w:style>
  <w:style w:type="character" w:styleId="Hypertextovodkaz">
    <w:name w:val="Hyperlink"/>
    <w:basedOn w:val="Standardnpsmoodstavce"/>
    <w:rsid w:val="003104BE"/>
    <w:rPr>
      <w:color w:val="0000FF"/>
      <w:u w:val="single"/>
    </w:rPr>
  </w:style>
  <w:style w:type="paragraph" w:styleId="Textpoznpodarou">
    <w:name w:val="footnote text"/>
    <w:basedOn w:val="Normln"/>
    <w:link w:val="TextpoznpodarouChar"/>
    <w:rsid w:val="0043568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35680"/>
    <w:rPr>
      <w:rFonts w:ascii="Arial" w:hAnsi="Arial"/>
    </w:rPr>
  </w:style>
  <w:style w:type="character" w:styleId="Znakapoznpodarou">
    <w:name w:val="footnote reference"/>
    <w:basedOn w:val="Standardnpsmoodstavce"/>
    <w:uiPriority w:val="99"/>
    <w:rsid w:val="00435680"/>
    <w:rPr>
      <w:vertAlign w:val="superscript"/>
    </w:rPr>
  </w:style>
  <w:style w:type="paragraph" w:styleId="Textbubliny">
    <w:name w:val="Balloon Text"/>
    <w:basedOn w:val="Normln"/>
    <w:link w:val="TextbublinyChar"/>
    <w:rsid w:val="000E7D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E7DAC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375C74"/>
    <w:rPr>
      <w:rFonts w:ascii="Arial" w:hAnsi="Arial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5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image" Target="media/image4.png"/><Relationship Id="rId28" Type="http://schemas.openxmlformats.org/officeDocument/2006/relationships/header" Target="header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image" Target="media/image3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SDP\Documents\Pracovn&#237;\Tiskopisy\hlavi&#269;kov&#253;%20pap&#237;r%20DI.dot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s278593\Documents\2012\P&#345;ehled%20nehodovosti%202012\Grafy%202012.xlsx" TargetMode="External"/><Relationship Id="rId1" Type="http://schemas.openxmlformats.org/officeDocument/2006/relationships/themeOverride" Target="../theme/themeOverrid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/>
            </a:pPr>
            <a:r>
              <a:rPr lang="cs-CZ" sz="900">
                <a:latin typeface="Arial" pitchFamily="34" charset="0"/>
                <a:cs typeface="Arial" pitchFamily="34" charset="0"/>
              </a:rPr>
              <a:t>Počet nehod a usmrcených osob; </a:t>
            </a:r>
            <a:r>
              <a:rPr lang="cs-CZ" sz="700" b="0">
                <a:latin typeface="Arial" pitchFamily="34" charset="0"/>
                <a:cs typeface="Arial" pitchFamily="34" charset="0"/>
              </a:rPr>
              <a:t>1998-2012, INDEX - rok 1999 = 100%</a:t>
            </a:r>
          </a:p>
        </c:rich>
      </c:tx>
      <c:layout>
        <c:manualLayout>
          <c:xMode val="edge"/>
          <c:yMode val="edge"/>
          <c:x val="0.1726899027327467"/>
          <c:y val="2.7687771905224298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počet nehod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'Celkové počty a následky'!$A$20:$A$34</c:f>
              <c:numCache>
                <c:formatCode>General</c:formatCode>
                <c:ptCount val="15"/>
                <c:pt idx="0">
                  <c:v>1998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</c:numCache>
            </c:numRef>
          </c:cat>
          <c:val>
            <c:numRef>
              <c:f>'Celkové počty a následky'!$B$20:$B$34</c:f>
              <c:numCache>
                <c:formatCode>0</c:formatCode>
                <c:ptCount val="15"/>
                <c:pt idx="0">
                  <c:v>95.336259956553221</c:v>
                </c:pt>
                <c:pt idx="1">
                  <c:v>100</c:v>
                </c:pt>
                <c:pt idx="2">
                  <c:v>91.781317885590155</c:v>
                </c:pt>
                <c:pt idx="3">
                  <c:v>77.378258508327306</c:v>
                </c:pt>
                <c:pt idx="4">
                  <c:v>81.209268645908764</c:v>
                </c:pt>
                <c:pt idx="5">
                  <c:v>80.532675597393194</c:v>
                </c:pt>
                <c:pt idx="6">
                  <c:v>66.975923244026063</c:v>
                </c:pt>
                <c:pt idx="7">
                  <c:v>75.463884866039095</c:v>
                </c:pt>
                <c:pt idx="8">
                  <c:v>78.496107892831276</c:v>
                </c:pt>
                <c:pt idx="9">
                  <c:v>75.76937002172339</c:v>
                </c:pt>
                <c:pt idx="10">
                  <c:v>68.453566256335989</c:v>
                </c:pt>
                <c:pt idx="11">
                  <c:v>35.262038377986968</c:v>
                </c:pt>
                <c:pt idx="12">
                  <c:v>41.161296162201303</c:v>
                </c:pt>
                <c:pt idx="13">
                  <c:v>37.5</c:v>
                </c:pt>
                <c:pt idx="14">
                  <c:v>40.267469225199129</c:v>
                </c:pt>
              </c:numCache>
            </c:numRef>
          </c:val>
          <c:smooth val="1"/>
        </c:ser>
        <c:ser>
          <c:idx val="1"/>
          <c:order val="1"/>
          <c:tx>
            <c:v>usmrcené osoby</c:v>
          </c:tx>
          <c:spPr>
            <a:ln>
              <a:solidFill>
                <a:srgbClr val="C0504D">
                  <a:lumMod val="75000"/>
                </a:srgbClr>
              </a:solidFill>
            </a:ln>
          </c:spPr>
          <c:marker>
            <c:symbol val="none"/>
          </c:marker>
          <c:cat>
            <c:numRef>
              <c:f>'Celkové počty a následky'!$A$20:$A$34</c:f>
              <c:numCache>
                <c:formatCode>General</c:formatCode>
                <c:ptCount val="15"/>
                <c:pt idx="0">
                  <c:v>1998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</c:numCache>
            </c:numRef>
          </c:cat>
          <c:val>
            <c:numRef>
              <c:f>'Celkové počty a následky'!$C$20:$C$34</c:f>
              <c:numCache>
                <c:formatCode>0</c:formatCode>
                <c:ptCount val="15"/>
                <c:pt idx="0">
                  <c:v>87.837837837837839</c:v>
                </c:pt>
                <c:pt idx="1">
                  <c:v>100</c:v>
                </c:pt>
                <c:pt idx="2">
                  <c:v>108.10810810810811</c:v>
                </c:pt>
                <c:pt idx="3">
                  <c:v>90.540540540540533</c:v>
                </c:pt>
                <c:pt idx="4">
                  <c:v>110.81081081081081</c:v>
                </c:pt>
                <c:pt idx="5">
                  <c:v>87.837837837837839</c:v>
                </c:pt>
                <c:pt idx="6">
                  <c:v>75.675675675675677</c:v>
                </c:pt>
                <c:pt idx="7">
                  <c:v>82.432432432432435</c:v>
                </c:pt>
                <c:pt idx="8">
                  <c:v>75.675675675675677</c:v>
                </c:pt>
                <c:pt idx="9">
                  <c:v>44.594594594594597</c:v>
                </c:pt>
                <c:pt idx="10">
                  <c:v>51.351351351351347</c:v>
                </c:pt>
                <c:pt idx="11">
                  <c:v>54.054054054054056</c:v>
                </c:pt>
                <c:pt idx="12">
                  <c:v>39.189189189189186</c:v>
                </c:pt>
                <c:pt idx="13">
                  <c:v>52.702702702702695</c:v>
                </c:pt>
                <c:pt idx="14">
                  <c:v>35.135135135135137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8644096"/>
        <c:axId val="115921280"/>
      </c:lineChart>
      <c:catAx>
        <c:axId val="138644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15921280"/>
        <c:crosses val="autoZero"/>
        <c:auto val="1"/>
        <c:lblAlgn val="ctr"/>
        <c:lblOffset val="100"/>
        <c:noMultiLvlLbl val="0"/>
      </c:catAx>
      <c:valAx>
        <c:axId val="115921280"/>
        <c:scaling>
          <c:orientation val="minMax"/>
          <c:max val="120"/>
          <c:min val="0"/>
        </c:scaling>
        <c:delete val="0"/>
        <c:axPos val="l"/>
        <c:majorGridlines>
          <c:spPr>
            <a:ln w="3175">
              <a:solidFill>
                <a:srgbClr val="7030A0">
                  <a:alpha val="68000"/>
                </a:srgbClr>
              </a:solidFill>
              <a:prstDash val="sysDot"/>
            </a:ln>
          </c:spPr>
        </c:majorGridlines>
        <c:numFmt formatCode="0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38644096"/>
        <c:crosses val="autoZero"/>
        <c:crossBetween val="between"/>
        <c:majorUnit val="20"/>
        <c:minorUnit val="4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38628859811641203"/>
          <c:y val="0.91162653801222826"/>
          <c:w val="0.58664234985332697"/>
          <c:h val="6.0369274649917919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  <c:txPr>
        <a:bodyPr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/>
            </a:pPr>
            <a:r>
              <a:rPr lang="cs-CZ" sz="1000">
                <a:latin typeface="Arial" pitchFamily="34" charset="0"/>
                <a:cs typeface="Arial" pitchFamily="34" charset="0"/>
              </a:rPr>
              <a:t>Usmrcené</a:t>
            </a:r>
            <a:r>
              <a:rPr lang="cs-CZ" sz="1000" baseline="0">
                <a:latin typeface="Arial" pitchFamily="34" charset="0"/>
                <a:cs typeface="Arial" pitchFamily="34" charset="0"/>
              </a:rPr>
              <a:t> osoby podle měsíců; 2012 </a:t>
            </a:r>
          </a:p>
          <a:p>
            <a:pPr>
              <a:defRPr sz="1200"/>
            </a:pPr>
            <a:r>
              <a:rPr lang="cs-CZ" sz="800" b="0" baseline="0">
                <a:latin typeface="Arial" pitchFamily="34" charset="0"/>
                <a:cs typeface="Arial" pitchFamily="34" charset="0"/>
              </a:rPr>
              <a:t>porovnání s rokem 2011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2011</c:v>
          </c:tx>
          <c:spPr>
            <a:solidFill>
              <a:srgbClr val="F79646">
                <a:lumMod val="75000"/>
              </a:srgbClr>
            </a:solidFill>
            <a:ln>
              <a:noFill/>
            </a:ln>
            <a:effectLst>
              <a:outerShdw blurRad="50800" dist="38100" dir="2700000" algn="tl" rotWithShape="0">
                <a:srgbClr val="F79646">
                  <a:lumMod val="50000"/>
                  <a:alpha val="40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w="25400" h="25400" prst="coolSlant"/>
            </a:sp3d>
          </c:spPr>
          <c:invertIfNegative val="0"/>
          <c:cat>
            <c:strRef>
              <c:f>'podle měsíců a dne v týdnu'!$B$27:$B$38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'podle měsíců a dne v týdnu'!$C$27:$C$38</c:f>
              <c:numCache>
                <c:formatCode>General</c:formatCode>
                <c:ptCount val="12"/>
                <c:pt idx="0">
                  <c:v>0</c:v>
                </c:pt>
                <c:pt idx="1">
                  <c:v>4</c:v>
                </c:pt>
                <c:pt idx="2">
                  <c:v>0</c:v>
                </c:pt>
                <c:pt idx="3">
                  <c:v>2</c:v>
                </c:pt>
                <c:pt idx="4">
                  <c:v>4</c:v>
                </c:pt>
                <c:pt idx="5">
                  <c:v>4</c:v>
                </c:pt>
                <c:pt idx="6">
                  <c:v>3</c:v>
                </c:pt>
                <c:pt idx="7">
                  <c:v>4</c:v>
                </c:pt>
                <c:pt idx="8">
                  <c:v>1</c:v>
                </c:pt>
                <c:pt idx="9">
                  <c:v>5</c:v>
                </c:pt>
                <c:pt idx="10">
                  <c:v>9</c:v>
                </c:pt>
                <c:pt idx="11">
                  <c:v>3</c:v>
                </c:pt>
              </c:numCache>
            </c:numRef>
          </c:val>
        </c:ser>
        <c:ser>
          <c:idx val="1"/>
          <c:order val="1"/>
          <c:tx>
            <c:v>2012</c:v>
          </c:tx>
          <c:spPr>
            <a:solidFill>
              <a:srgbClr val="EEECE1">
                <a:lumMod val="25000"/>
              </a:srgbClr>
            </a:solidFill>
            <a:ln w="9525"/>
            <a:effectLst>
              <a:outerShdw blurRad="50800" dist="38100" dir="2700000" algn="tl" rotWithShape="0">
                <a:srgbClr val="9BBB59">
                  <a:lumMod val="75000"/>
                  <a:alpha val="40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w="25400" h="25400"/>
            </a:sp3d>
          </c:spPr>
          <c:invertIfNegative val="0"/>
          <c:cat>
            <c:strRef>
              <c:f>'podle měsíců a dne v týdnu'!$B$27:$B$38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'podle měsíců a dne v týdnu'!$D$27:$D$38</c:f>
              <c:numCache>
                <c:formatCode>General</c:formatCode>
                <c:ptCount val="12"/>
                <c:pt idx="0">
                  <c:v>2</c:v>
                </c:pt>
                <c:pt idx="1">
                  <c:v>1</c:v>
                </c:pt>
                <c:pt idx="2">
                  <c:v>4</c:v>
                </c:pt>
                <c:pt idx="3">
                  <c:v>2</c:v>
                </c:pt>
                <c:pt idx="4">
                  <c:v>3</c:v>
                </c:pt>
                <c:pt idx="5">
                  <c:v>2</c:v>
                </c:pt>
                <c:pt idx="6">
                  <c:v>0</c:v>
                </c:pt>
                <c:pt idx="7">
                  <c:v>4</c:v>
                </c:pt>
                <c:pt idx="8">
                  <c:v>4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9"/>
        <c:axId val="116468352"/>
        <c:axId val="116470144"/>
      </c:barChart>
      <c:lineChart>
        <c:grouping val="standard"/>
        <c:varyColors val="0"/>
        <c:ser>
          <c:idx val="2"/>
          <c:order val="2"/>
          <c:tx>
            <c:v>rozdíl</c:v>
          </c:tx>
          <c:spPr>
            <a:ln w="19050">
              <a:solidFill>
                <a:srgbClr val="FF0000"/>
              </a:solidFill>
            </a:ln>
          </c:spPr>
          <c:marker>
            <c:symbol val="none"/>
          </c:marker>
          <c:dLbls>
            <c:dLbl>
              <c:idx val="0"/>
              <c:layout>
                <c:manualLayout>
                  <c:x val="-4.1215441819772526E-2"/>
                  <c:y val="3.5397746863411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7882108486439168E-2"/>
                  <c:y val="-2.53707964788583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4.9548775153105865E-2"/>
                  <c:y val="-4.32438974618789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4.95417760279964E-2"/>
                  <c:y val="4.96962276498279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3.0097331583552055E-2"/>
                  <c:y val="3.5397746863411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3.0097331583552055E-2"/>
                  <c:y val="4.25469872566196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solidFill>
                      <a:srgbClr val="FF0000"/>
                    </a:solidFill>
                    <a:latin typeface="Arial" pitchFamily="34" charset="0"/>
                    <a:cs typeface="Arial" pitchFamily="34" charset="0"/>
                  </a:defRPr>
                </a:pPr>
                <a:endParaRPr lang="cs-CZ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'podle měsíců a dne v týdnu'!$B$27:$B$38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'podle měsíců a dne v týdnu'!$E$27:$E$38</c:f>
              <c:numCache>
                <c:formatCode>General</c:formatCode>
                <c:ptCount val="12"/>
                <c:pt idx="0">
                  <c:v>2</c:v>
                </c:pt>
                <c:pt idx="1">
                  <c:v>-3</c:v>
                </c:pt>
                <c:pt idx="2">
                  <c:v>4</c:v>
                </c:pt>
                <c:pt idx="3">
                  <c:v>0</c:v>
                </c:pt>
                <c:pt idx="4">
                  <c:v>-1</c:v>
                </c:pt>
                <c:pt idx="5">
                  <c:v>-2</c:v>
                </c:pt>
                <c:pt idx="6">
                  <c:v>-3</c:v>
                </c:pt>
                <c:pt idx="7">
                  <c:v>0</c:v>
                </c:pt>
                <c:pt idx="8">
                  <c:v>3</c:v>
                </c:pt>
                <c:pt idx="9">
                  <c:v>-4</c:v>
                </c:pt>
                <c:pt idx="10">
                  <c:v>-8</c:v>
                </c:pt>
                <c:pt idx="11">
                  <c:v>-1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6468352"/>
        <c:axId val="116470144"/>
      </c:lineChart>
      <c:catAx>
        <c:axId val="116468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116470144"/>
        <c:crosses val="autoZero"/>
        <c:auto val="1"/>
        <c:lblAlgn val="ctr"/>
        <c:lblOffset val="100"/>
        <c:noMultiLvlLbl val="0"/>
      </c:catAx>
      <c:valAx>
        <c:axId val="116470144"/>
        <c:scaling>
          <c:orientation val="minMax"/>
        </c:scaling>
        <c:delete val="0"/>
        <c:axPos val="l"/>
        <c:majorGridlines>
          <c:spPr>
            <a:ln w="3175">
              <a:solidFill>
                <a:sysClr val="windowText" lastClr="000000">
                  <a:tint val="75000"/>
                  <a:shade val="95000"/>
                  <a:satMod val="105000"/>
                  <a:alpha val="68000"/>
                </a:sysClr>
              </a:solidFill>
              <a:prstDash val="sysDot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/>
            </a:pPr>
            <a:endParaRPr lang="cs-CZ"/>
          </a:p>
        </c:txPr>
        <c:crossAx val="116468352"/>
        <c:crosses val="autoZero"/>
        <c:crossBetween val="between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51831474190726157"/>
          <c:y val="0.90280354365891935"/>
          <c:w val="0.45038385826771654"/>
          <c:h val="6.4639547402419201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EEECE1">
          <a:lumMod val="50000"/>
          <a:alpha val="40000"/>
        </a:srgbClr>
      </a:outerShdw>
    </a:effectLst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Počet nehod pod vlivem alkoholu; </a:t>
            </a:r>
            <a:r>
              <a:rPr lang="cs-CZ" b="0"/>
              <a:t>Praha 1998 - 2012</a:t>
            </a:r>
          </a:p>
        </c:rich>
      </c:tx>
      <c:layout>
        <c:manualLayout>
          <c:xMode val="edge"/>
          <c:yMode val="edge"/>
          <c:x val="0.22532152230971128"/>
          <c:y val="2.7687783840297971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počet nehod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'pod vlivem alkoholu'!$B$5:$B$19</c:f>
              <c:numCache>
                <c:formatCode>General</c:formatCode>
                <c:ptCount val="15"/>
                <c:pt idx="0">
                  <c:v>1998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</c:numCache>
            </c:numRef>
          </c:cat>
          <c:val>
            <c:numRef>
              <c:f>'pod vlivem alkoholu'!$C$5:$C$19</c:f>
              <c:numCache>
                <c:formatCode>_-* #,##0\ _K_č_-;\-* #,##0\ _K_č_-;_-* "-"??\ _K_č_-;_-@_-</c:formatCode>
                <c:ptCount val="15"/>
                <c:pt idx="0">
                  <c:v>992</c:v>
                </c:pt>
                <c:pt idx="1">
                  <c:v>944</c:v>
                </c:pt>
                <c:pt idx="2">
                  <c:v>735</c:v>
                </c:pt>
                <c:pt idx="3">
                  <c:v>1001</c:v>
                </c:pt>
                <c:pt idx="4">
                  <c:v>1028</c:v>
                </c:pt>
                <c:pt idx="5">
                  <c:v>988</c:v>
                </c:pt>
                <c:pt idx="6">
                  <c:v>820</c:v>
                </c:pt>
                <c:pt idx="7">
                  <c:v>748</c:v>
                </c:pt>
                <c:pt idx="8">
                  <c:v>556</c:v>
                </c:pt>
                <c:pt idx="9">
                  <c:v>724</c:v>
                </c:pt>
                <c:pt idx="10">
                  <c:v>661</c:v>
                </c:pt>
                <c:pt idx="11">
                  <c:v>577</c:v>
                </c:pt>
                <c:pt idx="12">
                  <c:v>510</c:v>
                </c:pt>
                <c:pt idx="13">
                  <c:v>504</c:v>
                </c:pt>
                <c:pt idx="14">
                  <c:v>480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6498816"/>
        <c:axId val="116500352"/>
      </c:lineChart>
      <c:catAx>
        <c:axId val="116498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16500352"/>
        <c:crosses val="autoZero"/>
        <c:auto val="1"/>
        <c:lblAlgn val="ctr"/>
        <c:lblOffset val="100"/>
        <c:noMultiLvlLbl val="0"/>
      </c:catAx>
      <c:valAx>
        <c:axId val="116500352"/>
        <c:scaling>
          <c:orientation val="minMax"/>
        </c:scaling>
        <c:delete val="0"/>
        <c:axPos val="l"/>
        <c:majorGridlines>
          <c:spPr>
            <a:ln w="0" cmpd="sng">
              <a:solidFill>
                <a:srgbClr val="EEECE1">
                  <a:lumMod val="25000"/>
                </a:srgbClr>
              </a:solidFill>
              <a:prstDash val="sysDot"/>
            </a:ln>
          </c:spPr>
        </c:majorGridlines>
        <c:numFmt formatCode="_-* #,##0\ _K_č_-;\-* #,##0\ _K_č_-;_-* &quot;-&quot;??\ _K_č_-;_-@_-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16498816"/>
        <c:crosses val="autoZero"/>
        <c:crossBetween val="between"/>
        <c:minorUnit val="4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68864380027453975"/>
          <c:y val="0.90903324584426948"/>
          <c:w val="0.28428711317388561"/>
          <c:h val="7.1261300670749483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Nehody pod vlivem alkoholu a návykových látek; </a:t>
            </a:r>
            <a:r>
              <a:rPr lang="cs-CZ" b="0"/>
              <a:t>2012</a:t>
            </a:r>
          </a:p>
        </c:rich>
      </c:tx>
      <c:overlay val="0"/>
    </c:title>
    <c:autoTitleDeleted val="0"/>
    <c:view3D>
      <c:rotX val="30"/>
      <c:rotY val="220"/>
      <c:depthPercent val="100"/>
      <c:rAngAx val="0"/>
      <c:perspective val="30"/>
    </c:view3D>
    <c:floor>
      <c:thickness val="0"/>
    </c:floor>
    <c:sideWall>
      <c:thickness val="0"/>
      <c:spPr>
        <a:solidFill>
          <a:schemeClr val="accent6">
            <a:lumMod val="40000"/>
            <a:lumOff val="60000"/>
          </a:schemeClr>
        </a:solidFill>
        <a:ln w="3175" cap="rnd">
          <a:solidFill>
            <a:schemeClr val="accent6">
              <a:lumMod val="50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</c:sideWall>
    <c:backWall>
      <c:thickness val="0"/>
      <c:spPr>
        <a:solidFill>
          <a:schemeClr val="accent6">
            <a:lumMod val="40000"/>
            <a:lumOff val="60000"/>
          </a:schemeClr>
        </a:solidFill>
        <a:ln w="3175" cap="rnd">
          <a:solidFill>
            <a:schemeClr val="accent6">
              <a:lumMod val="50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</c:backWall>
    <c:plotArea>
      <c:layout>
        <c:manualLayout>
          <c:layoutTarget val="inner"/>
          <c:xMode val="edge"/>
          <c:yMode val="edge"/>
          <c:x val="0"/>
          <c:y val="0.13508020523562822"/>
          <c:w val="1"/>
          <c:h val="0.67665214057268974"/>
        </c:manualLayout>
      </c:layout>
      <c:pie3DChart>
        <c:varyColors val="1"/>
        <c:ser>
          <c:idx val="0"/>
          <c:order val="0"/>
          <c:tx>
            <c:v>Nehody pod vlivem alkoholu a návykových látek</c:v>
          </c:tx>
          <c:spPr>
            <a:solidFill>
              <a:srgbClr val="EEECE1">
                <a:lumMod val="10000"/>
              </a:srgbClr>
            </a:solidFill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cene3d>
              <a:camera prst="orthographicFront"/>
              <a:lightRig rig="threePt" dir="t"/>
            </a:scene3d>
            <a:sp3d>
              <a:bevelT w="25400" h="25400" prst="coolSlant"/>
            </a:sp3d>
          </c:spPr>
          <c:explosion val="16"/>
          <c:dPt>
            <c:idx val="0"/>
            <c:bubble3D val="0"/>
            <c:spPr>
              <a:solidFill>
                <a:srgbClr val="4E4A86"/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25400" h="25400" prst="coolSlant"/>
              </a:sp3d>
            </c:spPr>
          </c:dPt>
          <c:dPt>
            <c:idx val="1"/>
            <c:bubble3D val="0"/>
            <c:explosion val="15"/>
            <c:spPr>
              <a:solidFill>
                <a:srgbClr val="C0504D">
                  <a:lumMod val="75000"/>
                </a:srgb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25400" h="25400" prst="coolSlant"/>
              </a:sp3d>
            </c:spPr>
          </c:dPt>
          <c:dPt>
            <c:idx val="2"/>
            <c:bubble3D val="0"/>
            <c:spPr>
              <a:solidFill>
                <a:sysClr val="window" lastClr="FFFFFF">
                  <a:lumMod val="65000"/>
                </a:sys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25400" h="25400" prst="coolSlant"/>
              </a:sp3d>
            </c:spPr>
          </c:dPt>
          <c:dPt>
            <c:idx val="3"/>
            <c:bubble3D val="0"/>
            <c:spPr>
              <a:solidFill>
                <a:srgbClr val="EEECE1">
                  <a:lumMod val="25000"/>
                </a:srgb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25400" h="25400" prst="coolSlant"/>
              </a:sp3d>
            </c:spPr>
          </c:dPt>
          <c:dLbls>
            <c:spPr>
              <a:gradFill>
                <a:gsLst>
                  <a:gs pos="0">
                    <a:srgbClr val="FFEFD1"/>
                  </a:gs>
                  <a:gs pos="64999">
                    <a:srgbClr val="F0EBD5"/>
                  </a:gs>
                  <a:gs pos="100000">
                    <a:srgbClr val="D1C39F"/>
                  </a:gs>
                </a:gsLst>
                <a:lin ang="5400000" scaled="0"/>
              </a:gradFill>
              <a:ln>
                <a:solidFill>
                  <a:srgbClr val="EEECE1">
                    <a:lumMod val="50000"/>
                  </a:srgbClr>
                </a:solidFill>
              </a:ln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'pod vlivem alkoholu'!$B$44:$B$47</c:f>
              <c:strCache>
                <c:ptCount val="4"/>
                <c:pt idx="0">
                  <c:v>Alkohol do 1 ‰</c:v>
                </c:pt>
                <c:pt idx="1">
                  <c:v>Alkohol nad 1 ‰</c:v>
                </c:pt>
                <c:pt idx="2">
                  <c:v>Alkohol a drogy</c:v>
                </c:pt>
                <c:pt idx="3">
                  <c:v>Drogy</c:v>
                </c:pt>
              </c:strCache>
            </c:strRef>
          </c:cat>
          <c:val>
            <c:numRef>
              <c:f>'pod vlivem alkoholu'!$E$44:$E$47</c:f>
              <c:numCache>
                <c:formatCode>General</c:formatCode>
                <c:ptCount val="4"/>
                <c:pt idx="0">
                  <c:v>138</c:v>
                </c:pt>
                <c:pt idx="1">
                  <c:v>336</c:v>
                </c:pt>
                <c:pt idx="2">
                  <c:v>6</c:v>
                </c:pt>
                <c:pt idx="3">
                  <c:v>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9.7251312335958004E-2"/>
          <c:y val="0.85290415895162752"/>
          <c:w val="0.81938626421697291"/>
          <c:h val="8.5164840322965243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  <c:txPr>
        <a:bodyPr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7030A0">
          <a:alpha val="40000"/>
        </a:srgbClr>
      </a:outerShdw>
    </a:effectLst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Nehody podle druhu; </a:t>
            </a:r>
            <a:r>
              <a:rPr lang="cs-CZ" b="0"/>
              <a:t>Praha</a:t>
            </a:r>
            <a:r>
              <a:rPr lang="cs-CZ" b="0" baseline="0"/>
              <a:t> 2012</a:t>
            </a:r>
            <a:endParaRPr lang="cs-CZ"/>
          </a:p>
        </c:rich>
      </c:tx>
      <c:overlay val="0"/>
      <c:spPr>
        <a:effectLst>
          <a:outerShdw blurRad="50800" dist="50800" dir="5400000" algn="ctr" rotWithShape="0">
            <a:srgbClr val="EEECE1">
              <a:lumMod val="50000"/>
            </a:srgbClr>
          </a:outerShdw>
        </a:effectLst>
      </c:spPr>
    </c:title>
    <c:autoTitleDeleted val="0"/>
    <c:view3D>
      <c:rotX val="30"/>
      <c:rotY val="150"/>
      <c:depthPercent val="100"/>
      <c:rAngAx val="0"/>
      <c:perspective val="30"/>
    </c:view3D>
    <c:floor>
      <c:thickness val="0"/>
    </c:floor>
    <c:sideWall>
      <c:thickness val="0"/>
      <c:spPr>
        <a:solidFill>
          <a:schemeClr val="accent6">
            <a:lumMod val="40000"/>
            <a:lumOff val="60000"/>
          </a:schemeClr>
        </a:solidFill>
        <a:ln w="3175" cap="rnd">
          <a:solidFill>
            <a:schemeClr val="accent6">
              <a:lumMod val="50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</c:sideWall>
    <c:backWall>
      <c:thickness val="0"/>
      <c:spPr>
        <a:solidFill>
          <a:schemeClr val="accent6">
            <a:lumMod val="40000"/>
            <a:lumOff val="60000"/>
          </a:schemeClr>
        </a:solidFill>
        <a:ln w="3175" cap="rnd">
          <a:solidFill>
            <a:schemeClr val="accent6">
              <a:lumMod val="50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</c:backWall>
    <c:plotArea>
      <c:layout>
        <c:manualLayout>
          <c:layoutTarget val="inner"/>
          <c:xMode val="edge"/>
          <c:yMode val="edge"/>
          <c:x val="0"/>
          <c:y val="8.8478232861252629E-2"/>
          <c:w val="1"/>
          <c:h val="0.67665214057268974"/>
        </c:manualLayout>
      </c:layout>
      <c:pie3DChart>
        <c:varyColors val="1"/>
        <c:ser>
          <c:idx val="0"/>
          <c:order val="0"/>
          <c:tx>
            <c:v>Nehody podle druhu</c:v>
          </c:tx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cene3d>
              <a:camera prst="orthographicFront"/>
              <a:lightRig rig="threePt" dir="t"/>
            </a:scene3d>
            <a:sp3d>
              <a:bevelT w="25400" h="25400" prst="coolSlant"/>
            </a:sp3d>
          </c:spPr>
          <c:explosion val="10"/>
          <c:dPt>
            <c:idx val="0"/>
            <c:bubble3D val="0"/>
            <c:spPr>
              <a:solidFill>
                <a:srgbClr val="EEECE1">
                  <a:lumMod val="25000"/>
                </a:srgb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25400" h="25400" prst="coolSlant"/>
              </a:sp3d>
            </c:spPr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gradFill>
                <a:gsLst>
                  <a:gs pos="0">
                    <a:srgbClr val="FFEFD1"/>
                  </a:gs>
                  <a:gs pos="64999">
                    <a:srgbClr val="F0EBD5"/>
                  </a:gs>
                  <a:gs pos="100000">
                    <a:srgbClr val="D1C39F"/>
                  </a:gs>
                </a:gsLst>
                <a:lin ang="5400000" scaled="0"/>
              </a:gradFill>
              <a:ln>
                <a:solidFill>
                  <a:srgbClr val="EEECE1">
                    <a:lumMod val="50000"/>
                  </a:srgbClr>
                </a:solidFill>
              </a:ln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('podle druhu nehody'!$B$4;'podle druhu nehody'!$B$5;'podle druhu nehody'!$B$6;'podle druhu nehody'!$B$7;'podle druhu nehody'!$B$9;'podle druhu nehody'!$B$10;'podle druhu nehody'!$B$11;'podle druhu nehody'!$B$12;'podle druhu nehody'!$B$13;'podle druhu nehody'!$B$14)</c:f>
              <c:strCache>
                <c:ptCount val="10"/>
                <c:pt idx="0">
                  <c:v>srážka s jedoucím nekolejovým vozidlem</c:v>
                </c:pt>
                <c:pt idx="1">
                  <c:v>srážka s vozidlem zaparkovaným, odstaveným</c:v>
                </c:pt>
                <c:pt idx="2">
                  <c:v>srážka s pevnou překážkou</c:v>
                </c:pt>
                <c:pt idx="3">
                  <c:v>srážka s chodcem</c:v>
                </c:pt>
                <c:pt idx="4">
                  <c:v>srážka s lesní zvěří</c:v>
                </c:pt>
                <c:pt idx="5">
                  <c:v>srážka s domácím zvířetem</c:v>
                </c:pt>
                <c:pt idx="6">
                  <c:v>srážka s vlakem</c:v>
                </c:pt>
                <c:pt idx="7">
                  <c:v>srážka s tramvají</c:v>
                </c:pt>
                <c:pt idx="8">
                  <c:v>havárie</c:v>
                </c:pt>
                <c:pt idx="9">
                  <c:v>jiný druh nehody</c:v>
                </c:pt>
              </c:strCache>
            </c:strRef>
          </c:cat>
          <c:val>
            <c:numRef>
              <c:f>('podle druhu nehody'!$D$4;'podle druhu nehody'!$D$5;'podle druhu nehody'!$D$6;'podle druhu nehody'!$D$7;'podle druhu nehody'!$D$9;'podle druhu nehody'!$D$10;'podle druhu nehody'!$D$11;'podle druhu nehody'!$D$12;'podle druhu nehody'!$D$13;'podle druhu nehody'!$D$14)</c:f>
              <c:numCache>
                <c:formatCode>General</c:formatCode>
                <c:ptCount val="10"/>
                <c:pt idx="0">
                  <c:v>9497</c:v>
                </c:pt>
                <c:pt idx="1">
                  <c:v>4577</c:v>
                </c:pt>
                <c:pt idx="2">
                  <c:v>1987</c:v>
                </c:pt>
                <c:pt idx="3">
                  <c:v>630</c:v>
                </c:pt>
                <c:pt idx="4">
                  <c:v>87</c:v>
                </c:pt>
                <c:pt idx="5">
                  <c:v>35</c:v>
                </c:pt>
                <c:pt idx="6">
                  <c:v>1</c:v>
                </c:pt>
                <c:pt idx="7">
                  <c:v>492</c:v>
                </c:pt>
                <c:pt idx="8">
                  <c:v>136</c:v>
                </c:pt>
                <c:pt idx="9">
                  <c:v>353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3.8179507624838037E-2"/>
          <c:y val="0.79791036102338397"/>
          <c:w val="0.93331024286521147"/>
          <c:h val="0.16337215561303473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7030A0">
          <a:alpha val="40000"/>
        </a:srgbClr>
      </a:outerShdw>
    </a:effectLst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Usmrcené osoby podle druhu nehody; </a:t>
            </a:r>
            <a:r>
              <a:rPr lang="cs-CZ" b="0"/>
              <a:t>Praha 2012</a:t>
            </a:r>
          </a:p>
        </c:rich>
      </c:tx>
      <c:overlay val="0"/>
      <c:spPr>
        <a:effectLst>
          <a:outerShdw blurRad="50800" dist="50800" dir="5400000" algn="ctr" rotWithShape="0">
            <a:srgbClr val="EEECE1">
              <a:lumMod val="50000"/>
            </a:srgbClr>
          </a:outerShdw>
        </a:effectLst>
      </c:spPr>
    </c:title>
    <c:autoTitleDeleted val="0"/>
    <c:view3D>
      <c:rotX val="30"/>
      <c:rotY val="150"/>
      <c:depthPercent val="100"/>
      <c:rAngAx val="0"/>
      <c:perspective val="30"/>
    </c:view3D>
    <c:floor>
      <c:thickness val="0"/>
    </c:floor>
    <c:sideWall>
      <c:thickness val="0"/>
      <c:spPr>
        <a:solidFill>
          <a:schemeClr val="accent6">
            <a:lumMod val="40000"/>
            <a:lumOff val="60000"/>
          </a:schemeClr>
        </a:solidFill>
        <a:ln w="3175" cap="rnd">
          <a:solidFill>
            <a:schemeClr val="accent6">
              <a:lumMod val="50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</c:sideWall>
    <c:backWall>
      <c:thickness val="0"/>
      <c:spPr>
        <a:solidFill>
          <a:schemeClr val="accent6">
            <a:lumMod val="40000"/>
            <a:lumOff val="60000"/>
          </a:schemeClr>
        </a:solidFill>
        <a:ln w="3175" cap="rnd">
          <a:solidFill>
            <a:schemeClr val="accent6">
              <a:lumMod val="50000"/>
            </a:schemeClr>
          </a:solidFill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</c:backWall>
    <c:plotArea>
      <c:layout>
        <c:manualLayout>
          <c:layoutTarget val="inner"/>
          <c:xMode val="edge"/>
          <c:yMode val="edge"/>
          <c:x val="0"/>
          <c:y val="0.12419748551839184"/>
          <c:w val="1"/>
          <c:h val="0.72590058895699261"/>
        </c:manualLayout>
      </c:layout>
      <c:pie3DChart>
        <c:varyColors val="1"/>
        <c:ser>
          <c:idx val="0"/>
          <c:order val="0"/>
          <c:tx>
            <c:v>Usmrcené osoby podle druhu nehody</c:v>
          </c:tx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cene3d>
              <a:camera prst="orthographicFront"/>
              <a:lightRig rig="threePt" dir="t"/>
            </a:scene3d>
            <a:sp3d>
              <a:bevelT w="25400" h="25400" prst="coolSlant"/>
            </a:sp3d>
          </c:spPr>
          <c:explosion val="10"/>
          <c:dPt>
            <c:idx val="0"/>
            <c:bubble3D val="0"/>
            <c:spPr>
              <a:solidFill>
                <a:srgbClr val="EEECE1">
                  <a:lumMod val="25000"/>
                </a:srgb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25400" h="25400" prst="coolSlant"/>
              </a:sp3d>
            </c:spPr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gradFill>
                <a:gsLst>
                  <a:gs pos="0">
                    <a:srgbClr val="FFEFD1"/>
                  </a:gs>
                  <a:gs pos="64999">
                    <a:srgbClr val="F0EBD5"/>
                  </a:gs>
                  <a:gs pos="100000">
                    <a:srgbClr val="D1C39F"/>
                  </a:gs>
                </a:gsLst>
                <a:lin ang="5400000" scaled="0"/>
              </a:gradFill>
              <a:ln>
                <a:solidFill>
                  <a:srgbClr val="EEECE1">
                    <a:lumMod val="50000"/>
                  </a:srgbClr>
                </a:solidFill>
              </a:ln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('podle druhu nehody'!$B$18;'podle druhu nehody'!$B$20;'podle druhu nehody'!$B$21;'podle druhu nehody'!$B$26)</c:f>
              <c:strCache>
                <c:ptCount val="4"/>
                <c:pt idx="0">
                  <c:v>srážka s jedoucím nekolejovým vozidlem</c:v>
                </c:pt>
                <c:pt idx="1">
                  <c:v>srážka s pevnou překážkou</c:v>
                </c:pt>
                <c:pt idx="2">
                  <c:v>srážka s chodcem</c:v>
                </c:pt>
                <c:pt idx="3">
                  <c:v>srážka s tramvají</c:v>
                </c:pt>
              </c:strCache>
            </c:strRef>
          </c:cat>
          <c:val>
            <c:numRef>
              <c:f>('podle druhu nehody'!$I$18;'podle druhu nehody'!$I$20;'podle druhu nehody'!$I$21;'podle druhu nehody'!$I$26)</c:f>
              <c:numCache>
                <c:formatCode>0.0</c:formatCode>
                <c:ptCount val="4"/>
                <c:pt idx="0">
                  <c:v>30.76923076923077</c:v>
                </c:pt>
                <c:pt idx="1">
                  <c:v>15.384615384615385</c:v>
                </c:pt>
                <c:pt idx="2">
                  <c:v>46.153846153846153</c:v>
                </c:pt>
                <c:pt idx="3">
                  <c:v>3.8461538461538463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3.7783052238087464E-2"/>
          <c:y val="0.87988057615247073"/>
          <c:w val="0.93351086004744832"/>
          <c:h val="8.1508804117931863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7030A0">
          <a:alpha val="40000"/>
        </a:srgbClr>
      </a:outerShdw>
    </a:effectLst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 sz="1000">
                <a:latin typeface="Arial" pitchFamily="34" charset="0"/>
                <a:cs typeface="Arial" pitchFamily="34" charset="0"/>
              </a:rPr>
              <a:t>Nehody</a:t>
            </a:r>
            <a:r>
              <a:rPr lang="cs-CZ" sz="1000" baseline="0">
                <a:latin typeface="Arial" pitchFamily="34" charset="0"/>
                <a:cs typeface="Arial" pitchFamily="34" charset="0"/>
              </a:rPr>
              <a:t> podle hodiny; </a:t>
            </a:r>
            <a:r>
              <a:rPr lang="cs-CZ" sz="1000" b="0" baseline="0">
                <a:latin typeface="Arial" pitchFamily="34" charset="0"/>
                <a:cs typeface="Arial" pitchFamily="34" charset="0"/>
              </a:rPr>
              <a:t>porovnání 2010 - 2012</a:t>
            </a:r>
            <a:endParaRPr lang="cs-CZ" sz="1000">
              <a:latin typeface="Arial" pitchFamily="34" charset="0"/>
              <a:cs typeface="Arial" pitchFamily="34" charset="0"/>
            </a:endParaRPr>
          </a:p>
        </c:rich>
      </c:tx>
      <c:layout>
        <c:manualLayout>
          <c:xMode val="edge"/>
          <c:yMode val="edge"/>
          <c:x val="0.26173102506022333"/>
          <c:y val="4.5418272184062095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>
        <c:manualLayout>
          <c:layoutTarget val="inner"/>
          <c:xMode val="edge"/>
          <c:yMode val="edge"/>
          <c:x val="8.496188832560328E-2"/>
          <c:y val="0.14361702127659576"/>
          <c:w val="0.88992395642325561"/>
          <c:h val="0.6295702797788576"/>
        </c:manualLayout>
      </c:layout>
      <c:areaChart>
        <c:grouping val="standard"/>
        <c:varyColors val="0"/>
        <c:ser>
          <c:idx val="0"/>
          <c:order val="0"/>
          <c:tx>
            <c:v>2012</c:v>
          </c:tx>
          <c:spPr>
            <a:solidFill>
              <a:srgbClr val="EEECE1">
                <a:lumMod val="25000"/>
                <a:alpha val="80000"/>
              </a:srgbClr>
            </a:solidFill>
          </c:spPr>
          <c:val>
            <c:numRef>
              <c:f>'podle měsíců a dne v týdnu'!$C$65:$C$88</c:f>
              <c:numCache>
                <c:formatCode>General</c:formatCode>
                <c:ptCount val="24"/>
                <c:pt idx="0">
                  <c:v>135</c:v>
                </c:pt>
                <c:pt idx="1">
                  <c:v>106</c:v>
                </c:pt>
                <c:pt idx="2">
                  <c:v>108</c:v>
                </c:pt>
                <c:pt idx="3">
                  <c:v>85</c:v>
                </c:pt>
                <c:pt idx="4">
                  <c:v>110</c:v>
                </c:pt>
                <c:pt idx="5">
                  <c:v>164</c:v>
                </c:pt>
                <c:pt idx="6">
                  <c:v>376</c:v>
                </c:pt>
                <c:pt idx="7">
                  <c:v>878</c:v>
                </c:pt>
                <c:pt idx="8">
                  <c:v>1134</c:v>
                </c:pt>
                <c:pt idx="9">
                  <c:v>1023</c:v>
                </c:pt>
                <c:pt idx="10">
                  <c:v>1011</c:v>
                </c:pt>
                <c:pt idx="11">
                  <c:v>960</c:v>
                </c:pt>
                <c:pt idx="12">
                  <c:v>950</c:v>
                </c:pt>
                <c:pt idx="13">
                  <c:v>960</c:v>
                </c:pt>
                <c:pt idx="14">
                  <c:v>956</c:v>
                </c:pt>
                <c:pt idx="15">
                  <c:v>1112</c:v>
                </c:pt>
                <c:pt idx="16">
                  <c:v>1223</c:v>
                </c:pt>
                <c:pt idx="17">
                  <c:v>1174</c:v>
                </c:pt>
                <c:pt idx="18">
                  <c:v>941</c:v>
                </c:pt>
                <c:pt idx="19">
                  <c:v>632</c:v>
                </c:pt>
                <c:pt idx="20">
                  <c:v>447</c:v>
                </c:pt>
                <c:pt idx="21">
                  <c:v>343</c:v>
                </c:pt>
                <c:pt idx="22">
                  <c:v>262</c:v>
                </c:pt>
                <c:pt idx="23">
                  <c:v>202</c:v>
                </c:pt>
              </c:numCache>
            </c:numRef>
          </c:val>
        </c:ser>
        <c:ser>
          <c:idx val="3"/>
          <c:order val="1"/>
          <c:tx>
            <c:v>2011</c:v>
          </c:tx>
          <c:spPr>
            <a:noFill/>
            <a:ln>
              <a:solidFill>
                <a:srgbClr val="FF0000"/>
              </a:solidFill>
            </a:ln>
          </c:spPr>
          <c:cat>
            <c:strRef>
              <c:f>'podle měsíců a dne v týdnu'!$B$65:$B$88</c:f>
              <c:strCache>
                <c:ptCount val="24"/>
                <c:pt idx="0">
                  <c:v>0-1</c:v>
                </c:pt>
                <c:pt idx="1">
                  <c:v>1-2</c:v>
                </c:pt>
                <c:pt idx="2">
                  <c:v>2-3</c:v>
                </c:pt>
                <c:pt idx="3">
                  <c:v>3-4</c:v>
                </c:pt>
                <c:pt idx="4">
                  <c:v>4-5</c:v>
                </c:pt>
                <c:pt idx="5">
                  <c:v>5-6</c:v>
                </c:pt>
                <c:pt idx="6">
                  <c:v>6-7</c:v>
                </c:pt>
                <c:pt idx="7">
                  <c:v>7-8</c:v>
                </c:pt>
                <c:pt idx="8">
                  <c:v>8-9</c:v>
                </c:pt>
                <c:pt idx="9">
                  <c:v>9-10</c:v>
                </c:pt>
                <c:pt idx="10">
                  <c:v>10-11</c:v>
                </c:pt>
                <c:pt idx="11">
                  <c:v>11-12</c:v>
                </c:pt>
                <c:pt idx="12">
                  <c:v>12-13</c:v>
                </c:pt>
                <c:pt idx="13">
                  <c:v>13-14</c:v>
                </c:pt>
                <c:pt idx="14">
                  <c:v>14-15</c:v>
                </c:pt>
                <c:pt idx="15">
                  <c:v>15-16</c:v>
                </c:pt>
                <c:pt idx="16">
                  <c:v>16-17</c:v>
                </c:pt>
                <c:pt idx="17">
                  <c:v>17-18</c:v>
                </c:pt>
                <c:pt idx="18">
                  <c:v>18-19</c:v>
                </c:pt>
                <c:pt idx="19">
                  <c:v>19-20</c:v>
                </c:pt>
                <c:pt idx="20">
                  <c:v>20-21</c:v>
                </c:pt>
                <c:pt idx="21">
                  <c:v>21-22</c:v>
                </c:pt>
                <c:pt idx="22">
                  <c:v>22-23</c:v>
                </c:pt>
                <c:pt idx="23">
                  <c:v>23-24</c:v>
                </c:pt>
              </c:strCache>
            </c:strRef>
          </c:cat>
          <c:val>
            <c:numRef>
              <c:f>'podle měsíců a dne v týdnu'!$D$65:$D$88</c:f>
              <c:numCache>
                <c:formatCode>General</c:formatCode>
                <c:ptCount val="24"/>
                <c:pt idx="0">
                  <c:v>127</c:v>
                </c:pt>
                <c:pt idx="1">
                  <c:v>130</c:v>
                </c:pt>
                <c:pt idx="2">
                  <c:v>106</c:v>
                </c:pt>
                <c:pt idx="3">
                  <c:v>104</c:v>
                </c:pt>
                <c:pt idx="4">
                  <c:v>106</c:v>
                </c:pt>
                <c:pt idx="5">
                  <c:v>157</c:v>
                </c:pt>
                <c:pt idx="6">
                  <c:v>388</c:v>
                </c:pt>
                <c:pt idx="7">
                  <c:v>791</c:v>
                </c:pt>
                <c:pt idx="8">
                  <c:v>1014</c:v>
                </c:pt>
                <c:pt idx="9">
                  <c:v>1011</c:v>
                </c:pt>
                <c:pt idx="10">
                  <c:v>992</c:v>
                </c:pt>
                <c:pt idx="11">
                  <c:v>916</c:v>
                </c:pt>
                <c:pt idx="12">
                  <c:v>865</c:v>
                </c:pt>
                <c:pt idx="13">
                  <c:v>933</c:v>
                </c:pt>
                <c:pt idx="14">
                  <c:v>921</c:v>
                </c:pt>
                <c:pt idx="15">
                  <c:v>975</c:v>
                </c:pt>
                <c:pt idx="16">
                  <c:v>1065</c:v>
                </c:pt>
                <c:pt idx="17">
                  <c:v>1049</c:v>
                </c:pt>
                <c:pt idx="18">
                  <c:v>897</c:v>
                </c:pt>
                <c:pt idx="19">
                  <c:v>617</c:v>
                </c:pt>
                <c:pt idx="20">
                  <c:v>424</c:v>
                </c:pt>
                <c:pt idx="21">
                  <c:v>316</c:v>
                </c:pt>
                <c:pt idx="22">
                  <c:v>228</c:v>
                </c:pt>
                <c:pt idx="23">
                  <c:v>186</c:v>
                </c:pt>
              </c:numCache>
            </c:numRef>
          </c:val>
        </c:ser>
        <c:ser>
          <c:idx val="1"/>
          <c:order val="2"/>
          <c:tx>
            <c:v>2010</c:v>
          </c:tx>
          <c:spPr>
            <a:noFill/>
            <a:ln w="25400">
              <a:solidFill>
                <a:srgbClr val="FFFF00"/>
              </a:solidFill>
            </a:ln>
          </c:spPr>
          <c:val>
            <c:numRef>
              <c:f>'podle měsíců a dne v týdnu'!$E$65:$E$88</c:f>
              <c:numCache>
                <c:formatCode>General</c:formatCode>
                <c:ptCount val="24"/>
                <c:pt idx="0">
                  <c:v>162</c:v>
                </c:pt>
                <c:pt idx="1">
                  <c:v>145</c:v>
                </c:pt>
                <c:pt idx="2">
                  <c:v>107</c:v>
                </c:pt>
                <c:pt idx="3">
                  <c:v>95</c:v>
                </c:pt>
                <c:pt idx="4">
                  <c:v>121</c:v>
                </c:pt>
                <c:pt idx="5">
                  <c:v>182</c:v>
                </c:pt>
                <c:pt idx="6">
                  <c:v>434</c:v>
                </c:pt>
                <c:pt idx="7">
                  <c:v>866</c:v>
                </c:pt>
                <c:pt idx="8">
                  <c:v>1148</c:v>
                </c:pt>
                <c:pt idx="9">
                  <c:v>1166</c:v>
                </c:pt>
                <c:pt idx="10">
                  <c:v>1109</c:v>
                </c:pt>
                <c:pt idx="11">
                  <c:v>1070</c:v>
                </c:pt>
                <c:pt idx="12">
                  <c:v>1010</c:v>
                </c:pt>
                <c:pt idx="13">
                  <c:v>987</c:v>
                </c:pt>
                <c:pt idx="14">
                  <c:v>1118</c:v>
                </c:pt>
                <c:pt idx="15">
                  <c:v>1119</c:v>
                </c:pt>
                <c:pt idx="16">
                  <c:v>1112</c:v>
                </c:pt>
                <c:pt idx="17">
                  <c:v>1118</c:v>
                </c:pt>
                <c:pt idx="18">
                  <c:v>953</c:v>
                </c:pt>
                <c:pt idx="19">
                  <c:v>663</c:v>
                </c:pt>
                <c:pt idx="20">
                  <c:v>511</c:v>
                </c:pt>
                <c:pt idx="21">
                  <c:v>340</c:v>
                </c:pt>
                <c:pt idx="22">
                  <c:v>301</c:v>
                </c:pt>
                <c:pt idx="23">
                  <c:v>224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6882816"/>
        <c:axId val="116892800"/>
      </c:areaChart>
      <c:catAx>
        <c:axId val="116882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5400000" vert="horz"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16892800"/>
        <c:crosses val="autoZero"/>
        <c:auto val="1"/>
        <c:lblAlgn val="ctr"/>
        <c:lblOffset val="100"/>
        <c:noMultiLvlLbl val="0"/>
      </c:catAx>
      <c:valAx>
        <c:axId val="116892800"/>
        <c:scaling>
          <c:orientation val="minMax"/>
        </c:scaling>
        <c:delete val="0"/>
        <c:axPos val="l"/>
        <c:majorGridlines>
          <c:spPr>
            <a:ln w="3175">
              <a:solidFill>
                <a:srgbClr val="7030A0">
                  <a:alpha val="68000"/>
                </a:srgbClr>
              </a:solidFill>
              <a:prstDash val="sysDot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16882816"/>
        <c:crosses val="autoZero"/>
        <c:crossBetween val="midCat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61990400172581173"/>
          <c:y val="0.91517255821745691"/>
          <c:w val="0.35498184302304675"/>
          <c:h val="6.4123806332719052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</c:sp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EEECE1">
          <a:lumMod val="50000"/>
          <a:alpha val="40000"/>
        </a:srgbClr>
      </a:outerShdw>
    </a:effectLst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Nehody chodců; 2000 - 2012; </a:t>
            </a:r>
            <a:r>
              <a:rPr lang="cs-CZ" b="0"/>
              <a:t>INDEX - rok 2001  = 100 %</a:t>
            </a:r>
          </a:p>
        </c:rich>
      </c:tx>
      <c:layout>
        <c:manualLayout>
          <c:xMode val="edge"/>
          <c:yMode val="edge"/>
          <c:x val="0.22532152230971128"/>
          <c:y val="2.7687783840297971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nehod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Chodci!$B$23:$N$23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Chodci!$B$28:$N$28</c:f>
              <c:numCache>
                <c:formatCode>0.0</c:formatCode>
                <c:ptCount val="13"/>
                <c:pt idx="0">
                  <c:v>92.20779220779221</c:v>
                </c:pt>
                <c:pt idx="1">
                  <c:v>100</c:v>
                </c:pt>
                <c:pt idx="2">
                  <c:v>97.802197802197796</c:v>
                </c:pt>
                <c:pt idx="3">
                  <c:v>90.709290709290713</c:v>
                </c:pt>
                <c:pt idx="4">
                  <c:v>82.417582417582409</c:v>
                </c:pt>
                <c:pt idx="5">
                  <c:v>74.12587412587412</c:v>
                </c:pt>
                <c:pt idx="6">
                  <c:v>64.835164835164832</c:v>
                </c:pt>
                <c:pt idx="7">
                  <c:v>65.534465534465539</c:v>
                </c:pt>
                <c:pt idx="8">
                  <c:v>67.632367632367632</c:v>
                </c:pt>
                <c:pt idx="9">
                  <c:v>67.432567432567438</c:v>
                </c:pt>
                <c:pt idx="10">
                  <c:v>59.340659340659343</c:v>
                </c:pt>
                <c:pt idx="11">
                  <c:v>59.740259740259738</c:v>
                </c:pt>
                <c:pt idx="12">
                  <c:v>62.93706293706294</c:v>
                </c:pt>
              </c:numCache>
            </c:numRef>
          </c:val>
          <c:smooth val="1"/>
        </c:ser>
        <c:ser>
          <c:idx val="1"/>
          <c:order val="1"/>
          <c:tx>
            <c:v>usmrceno osob</c:v>
          </c:tx>
          <c:spPr>
            <a:ln w="19050">
              <a:solidFill>
                <a:srgbClr val="C0504D">
                  <a:lumMod val="75000"/>
                </a:srgbClr>
              </a:solidFill>
            </a:ln>
          </c:spPr>
          <c:marker>
            <c:symbol val="none"/>
          </c:marker>
          <c:cat>
            <c:numRef>
              <c:f>Chodci!$B$23:$N$23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Chodci!$B$29:$N$29</c:f>
              <c:numCache>
                <c:formatCode>0.0</c:formatCode>
                <c:ptCount val="13"/>
                <c:pt idx="0">
                  <c:v>81.081081081081081</c:v>
                </c:pt>
                <c:pt idx="1">
                  <c:v>100</c:v>
                </c:pt>
                <c:pt idx="2">
                  <c:v>97.297297297297305</c:v>
                </c:pt>
                <c:pt idx="3">
                  <c:v>75.675675675675677</c:v>
                </c:pt>
                <c:pt idx="4">
                  <c:v>70.270270270270274</c:v>
                </c:pt>
                <c:pt idx="5">
                  <c:v>94.594594594594597</c:v>
                </c:pt>
                <c:pt idx="6">
                  <c:v>67.567567567567565</c:v>
                </c:pt>
                <c:pt idx="7">
                  <c:v>45.945945945945951</c:v>
                </c:pt>
                <c:pt idx="8">
                  <c:v>54.054054054054056</c:v>
                </c:pt>
                <c:pt idx="9">
                  <c:v>35.135135135135137</c:v>
                </c:pt>
                <c:pt idx="10">
                  <c:v>43.243243243243242</c:v>
                </c:pt>
                <c:pt idx="11">
                  <c:v>45.945945945945951</c:v>
                </c:pt>
                <c:pt idx="12">
                  <c:v>32.432432432432435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0009344"/>
        <c:axId val="170010880"/>
      </c:lineChart>
      <c:catAx>
        <c:axId val="170009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0010880"/>
        <c:crosses val="autoZero"/>
        <c:auto val="1"/>
        <c:lblAlgn val="ctr"/>
        <c:lblOffset val="100"/>
        <c:noMultiLvlLbl val="0"/>
      </c:catAx>
      <c:valAx>
        <c:axId val="170010880"/>
        <c:scaling>
          <c:orientation val="minMax"/>
          <c:max val="130"/>
          <c:min val="0"/>
        </c:scaling>
        <c:delete val="0"/>
        <c:axPos val="l"/>
        <c:majorGridlines>
          <c:spPr>
            <a:ln w="0" cmpd="sng">
              <a:solidFill>
                <a:srgbClr val="EEECE1">
                  <a:lumMod val="25000"/>
                </a:srgbClr>
              </a:solidFill>
              <a:prstDash val="sysDot"/>
            </a:ln>
          </c:spPr>
        </c:majorGridlines>
        <c:numFmt formatCode="0.0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0009344"/>
        <c:crosses val="autoZero"/>
        <c:crossBetween val="between"/>
        <c:majorUnit val="20"/>
        <c:minorUnit val="4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56828541615473105"/>
          <c:y val="0.90956045051330614"/>
          <c:w val="0.40464563367842254"/>
          <c:h val="7.0733911425628765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Nehody chodců podle hodiny</a:t>
            </a:r>
            <a:r>
              <a:rPr lang="cs-CZ" b="0"/>
              <a:t>; Praha 2011 a 2012</a:t>
            </a:r>
          </a:p>
        </c:rich>
      </c:tx>
      <c:layout>
        <c:manualLayout>
          <c:xMode val="edge"/>
          <c:yMode val="edge"/>
          <c:x val="0.26173102506022333"/>
          <c:y val="4.5418272184062095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>
        <c:manualLayout>
          <c:layoutTarget val="inner"/>
          <c:xMode val="edge"/>
          <c:yMode val="edge"/>
          <c:x val="8.496188832560328E-2"/>
          <c:y val="0.14361702127659576"/>
          <c:w val="0.88992395642325561"/>
          <c:h val="0.6295702797788576"/>
        </c:manualLayout>
      </c:layout>
      <c:areaChart>
        <c:grouping val="standard"/>
        <c:varyColors val="0"/>
        <c:ser>
          <c:idx val="3"/>
          <c:order val="0"/>
          <c:tx>
            <c:v>2012</c:v>
          </c:tx>
          <c:spPr>
            <a:solidFill>
              <a:srgbClr val="EEECE1">
                <a:lumMod val="25000"/>
              </a:srgbClr>
            </a:solidFill>
            <a:ln>
              <a:solidFill>
                <a:srgbClr val="EEECE1">
                  <a:lumMod val="25000"/>
                </a:srgbClr>
              </a:solidFill>
            </a:ln>
          </c:spPr>
          <c:val>
            <c:numRef>
              <c:f>Chodci!$V$24:$V$47</c:f>
              <c:numCache>
                <c:formatCode>General</c:formatCode>
                <c:ptCount val="24"/>
                <c:pt idx="0">
                  <c:v>7</c:v>
                </c:pt>
                <c:pt idx="1">
                  <c:v>8</c:v>
                </c:pt>
                <c:pt idx="2">
                  <c:v>2</c:v>
                </c:pt>
                <c:pt idx="3">
                  <c:v>7</c:v>
                </c:pt>
                <c:pt idx="4">
                  <c:v>6</c:v>
                </c:pt>
                <c:pt idx="5">
                  <c:v>8</c:v>
                </c:pt>
                <c:pt idx="6">
                  <c:v>27</c:v>
                </c:pt>
                <c:pt idx="7">
                  <c:v>33</c:v>
                </c:pt>
                <c:pt idx="8">
                  <c:v>36</c:v>
                </c:pt>
                <c:pt idx="9">
                  <c:v>28</c:v>
                </c:pt>
                <c:pt idx="10">
                  <c:v>29</c:v>
                </c:pt>
                <c:pt idx="11">
                  <c:v>28</c:v>
                </c:pt>
                <c:pt idx="12">
                  <c:v>29</c:v>
                </c:pt>
                <c:pt idx="13">
                  <c:v>36</c:v>
                </c:pt>
                <c:pt idx="14">
                  <c:v>38</c:v>
                </c:pt>
                <c:pt idx="15">
                  <c:v>48</c:v>
                </c:pt>
                <c:pt idx="16">
                  <c:v>55</c:v>
                </c:pt>
                <c:pt idx="17">
                  <c:v>60</c:v>
                </c:pt>
                <c:pt idx="18">
                  <c:v>58</c:v>
                </c:pt>
                <c:pt idx="19">
                  <c:v>24</c:v>
                </c:pt>
                <c:pt idx="20">
                  <c:v>25</c:v>
                </c:pt>
                <c:pt idx="21">
                  <c:v>16</c:v>
                </c:pt>
                <c:pt idx="22">
                  <c:v>10</c:v>
                </c:pt>
                <c:pt idx="23">
                  <c:v>12</c:v>
                </c:pt>
              </c:numCache>
            </c:numRef>
          </c:val>
        </c:ser>
        <c:ser>
          <c:idx val="0"/>
          <c:order val="1"/>
          <c:tx>
            <c:v>2011</c:v>
          </c:tx>
          <c:spPr>
            <a:noFill/>
            <a:ln w="19050">
              <a:solidFill>
                <a:srgbClr val="FFFF00"/>
              </a:solidFill>
            </a:ln>
          </c:spPr>
          <c:cat>
            <c:strRef>
              <c:f>Chodci!$T$24:$T$47</c:f>
              <c:strCache>
                <c:ptCount val="24"/>
                <c:pt idx="0">
                  <c:v>0-1</c:v>
                </c:pt>
                <c:pt idx="1">
                  <c:v>1-2</c:v>
                </c:pt>
                <c:pt idx="2">
                  <c:v>2-3</c:v>
                </c:pt>
                <c:pt idx="3">
                  <c:v>3-4</c:v>
                </c:pt>
                <c:pt idx="4">
                  <c:v>4-5</c:v>
                </c:pt>
                <c:pt idx="5">
                  <c:v>5-6</c:v>
                </c:pt>
                <c:pt idx="6">
                  <c:v>6-7</c:v>
                </c:pt>
                <c:pt idx="7">
                  <c:v>7-8</c:v>
                </c:pt>
                <c:pt idx="8">
                  <c:v>8-9</c:v>
                </c:pt>
                <c:pt idx="9">
                  <c:v>9-10</c:v>
                </c:pt>
                <c:pt idx="10">
                  <c:v>10-11</c:v>
                </c:pt>
                <c:pt idx="11">
                  <c:v>11-12</c:v>
                </c:pt>
                <c:pt idx="12">
                  <c:v>12-13</c:v>
                </c:pt>
                <c:pt idx="13">
                  <c:v>13-14</c:v>
                </c:pt>
                <c:pt idx="14">
                  <c:v>14-15</c:v>
                </c:pt>
                <c:pt idx="15">
                  <c:v>15-16</c:v>
                </c:pt>
                <c:pt idx="16">
                  <c:v>16-17</c:v>
                </c:pt>
                <c:pt idx="17">
                  <c:v>17-18</c:v>
                </c:pt>
                <c:pt idx="18">
                  <c:v>18-19</c:v>
                </c:pt>
                <c:pt idx="19">
                  <c:v>19-20</c:v>
                </c:pt>
                <c:pt idx="20">
                  <c:v>20-21</c:v>
                </c:pt>
                <c:pt idx="21">
                  <c:v>21-22</c:v>
                </c:pt>
                <c:pt idx="22">
                  <c:v>22-23</c:v>
                </c:pt>
                <c:pt idx="23">
                  <c:v>23-24</c:v>
                </c:pt>
              </c:strCache>
            </c:strRef>
          </c:cat>
          <c:val>
            <c:numRef>
              <c:f>Chodci!$U$24:$U$47</c:f>
              <c:numCache>
                <c:formatCode>General</c:formatCode>
                <c:ptCount val="24"/>
                <c:pt idx="0">
                  <c:v>3</c:v>
                </c:pt>
                <c:pt idx="1">
                  <c:v>7</c:v>
                </c:pt>
                <c:pt idx="2">
                  <c:v>4</c:v>
                </c:pt>
                <c:pt idx="3">
                  <c:v>2</c:v>
                </c:pt>
                <c:pt idx="4">
                  <c:v>3</c:v>
                </c:pt>
                <c:pt idx="5">
                  <c:v>7</c:v>
                </c:pt>
                <c:pt idx="6">
                  <c:v>23</c:v>
                </c:pt>
                <c:pt idx="7">
                  <c:v>42</c:v>
                </c:pt>
                <c:pt idx="8">
                  <c:v>37</c:v>
                </c:pt>
                <c:pt idx="9">
                  <c:v>38</c:v>
                </c:pt>
                <c:pt idx="10">
                  <c:v>24</c:v>
                </c:pt>
                <c:pt idx="11">
                  <c:v>37</c:v>
                </c:pt>
                <c:pt idx="12">
                  <c:v>32</c:v>
                </c:pt>
                <c:pt idx="13">
                  <c:v>33</c:v>
                </c:pt>
                <c:pt idx="14">
                  <c:v>56</c:v>
                </c:pt>
                <c:pt idx="15">
                  <c:v>50</c:v>
                </c:pt>
                <c:pt idx="16">
                  <c:v>63</c:v>
                </c:pt>
                <c:pt idx="17">
                  <c:v>55</c:v>
                </c:pt>
                <c:pt idx="18">
                  <c:v>51</c:v>
                </c:pt>
                <c:pt idx="19">
                  <c:v>32</c:v>
                </c:pt>
                <c:pt idx="20">
                  <c:v>11</c:v>
                </c:pt>
                <c:pt idx="21">
                  <c:v>16</c:v>
                </c:pt>
                <c:pt idx="22">
                  <c:v>18</c:v>
                </c:pt>
                <c:pt idx="23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0045824"/>
        <c:axId val="170047360"/>
      </c:areaChart>
      <c:catAx>
        <c:axId val="170045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5400000" vert="horz"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0047360"/>
        <c:crosses val="autoZero"/>
        <c:auto val="1"/>
        <c:lblAlgn val="ctr"/>
        <c:lblOffset val="100"/>
        <c:noMultiLvlLbl val="0"/>
      </c:catAx>
      <c:valAx>
        <c:axId val="170047360"/>
        <c:scaling>
          <c:orientation val="minMax"/>
        </c:scaling>
        <c:delete val="0"/>
        <c:axPos val="l"/>
        <c:majorGridlines>
          <c:spPr>
            <a:ln w="3175">
              <a:solidFill>
                <a:srgbClr val="7030A0">
                  <a:alpha val="68000"/>
                </a:srgbClr>
              </a:solidFill>
              <a:prstDash val="sysDot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0045824"/>
        <c:crosses val="autoZero"/>
        <c:crossBetween val="midCat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61990400172581173"/>
          <c:y val="0.91517255821745691"/>
          <c:w val="0.25696832416495885"/>
          <c:h val="6.4123806332719052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</c:spPr>
      <c:txPr>
        <a:bodyPr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EEECE1">
          <a:lumMod val="50000"/>
          <a:alpha val="40000"/>
        </a:srgbClr>
      </a:outerShdw>
    </a:effectLst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Vývoj nehodovosti chodců - dětí; </a:t>
            </a:r>
            <a:r>
              <a:rPr lang="cs-CZ" b="0"/>
              <a:t>Praha  2000-2012</a:t>
            </a:r>
          </a:p>
        </c:rich>
      </c:tx>
      <c:layout>
        <c:manualLayout>
          <c:xMode val="edge"/>
          <c:yMode val="edge"/>
          <c:x val="0.22532152230971128"/>
          <c:y val="2.7687783840297971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>
        <c:manualLayout>
          <c:layoutTarget val="inner"/>
          <c:xMode val="edge"/>
          <c:yMode val="edge"/>
          <c:x val="9.8009020717070558E-2"/>
          <c:y val="9.8823529411764699E-2"/>
          <c:w val="0.87351201488163499"/>
          <c:h val="0.74084001852709591"/>
        </c:manualLayout>
      </c:layout>
      <c:lineChart>
        <c:grouping val="standard"/>
        <c:varyColors val="0"/>
        <c:ser>
          <c:idx val="0"/>
          <c:order val="0"/>
          <c:tx>
            <c:v>počet nehod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Chodci!$A$105:$A$117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Chodci!$B$105:$B$117</c:f>
              <c:numCache>
                <c:formatCode>_-* #,##0\ _K_č_-;\-* #,##0\ _K_č_-;_-* "-"??\ _K_č_-;_-@_-</c:formatCode>
                <c:ptCount val="13"/>
                <c:pt idx="0">
                  <c:v>191</c:v>
                </c:pt>
                <c:pt idx="1">
                  <c:v>163</c:v>
                </c:pt>
                <c:pt idx="2">
                  <c:v>153</c:v>
                </c:pt>
                <c:pt idx="3">
                  <c:v>157</c:v>
                </c:pt>
                <c:pt idx="4">
                  <c:v>117</c:v>
                </c:pt>
                <c:pt idx="5">
                  <c:v>96</c:v>
                </c:pt>
                <c:pt idx="6">
                  <c:v>68</c:v>
                </c:pt>
                <c:pt idx="7">
                  <c:v>80</c:v>
                </c:pt>
                <c:pt idx="8">
                  <c:v>86</c:v>
                </c:pt>
                <c:pt idx="9">
                  <c:v>72</c:v>
                </c:pt>
                <c:pt idx="10">
                  <c:v>99</c:v>
                </c:pt>
                <c:pt idx="11">
                  <c:v>75</c:v>
                </c:pt>
                <c:pt idx="12">
                  <c:v>86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745280"/>
        <c:axId val="173746816"/>
      </c:lineChart>
      <c:catAx>
        <c:axId val="173745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746816"/>
        <c:crosses val="autoZero"/>
        <c:auto val="1"/>
        <c:lblAlgn val="ctr"/>
        <c:lblOffset val="100"/>
        <c:noMultiLvlLbl val="0"/>
      </c:catAx>
      <c:valAx>
        <c:axId val="173746816"/>
        <c:scaling>
          <c:orientation val="minMax"/>
        </c:scaling>
        <c:delete val="0"/>
        <c:axPos val="l"/>
        <c:majorGridlines>
          <c:spPr>
            <a:ln w="0" cmpd="sng">
              <a:solidFill>
                <a:srgbClr val="EEECE1">
                  <a:lumMod val="25000"/>
                </a:srgbClr>
              </a:solidFill>
              <a:prstDash val="sysDot"/>
            </a:ln>
          </c:spPr>
        </c:majorGridlines>
        <c:numFmt formatCode="_-* #,##0\ _K_č_-;\-* #,##0\ _K_č_-;_-* &quot;-&quot;??\ _K_č_-;_-@_-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745280"/>
        <c:crosses val="autoZero"/>
        <c:crossBetween val="between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6313064750401346"/>
          <c:y val="0.93011159487417006"/>
          <c:w val="0.34162444257574603"/>
          <c:h val="5.018298595028562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Nehody zaviněné chodci</a:t>
            </a:r>
            <a:r>
              <a:rPr lang="cs-CZ" b="0"/>
              <a:t>; Praha 2000 - 2012</a:t>
            </a:r>
          </a:p>
        </c:rich>
      </c:tx>
      <c:layout>
        <c:manualLayout>
          <c:xMode val="edge"/>
          <c:yMode val="edge"/>
          <c:x val="0.26813503816610079"/>
          <c:y val="2.7687763519356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nehod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Chodci!$A$53:$A$67</c:f>
              <c:numCache>
                <c:formatCode>General</c:formatCode>
                <c:ptCount val="15"/>
                <c:pt idx="0">
                  <c:v>1998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</c:numCache>
            </c:numRef>
          </c:cat>
          <c:val>
            <c:numRef>
              <c:f>Chodci!$B$53:$B$67</c:f>
              <c:numCache>
                <c:formatCode>_-* #,##0\ _K_č_-;\-* #,##0\ _K_č_-;_-* "-"??\ _K_č_-;_-@_-</c:formatCode>
                <c:ptCount val="15"/>
                <c:pt idx="0">
                  <c:v>609</c:v>
                </c:pt>
                <c:pt idx="1">
                  <c:v>571</c:v>
                </c:pt>
                <c:pt idx="2">
                  <c:v>531</c:v>
                </c:pt>
                <c:pt idx="3">
                  <c:v>470</c:v>
                </c:pt>
                <c:pt idx="4">
                  <c:v>487</c:v>
                </c:pt>
                <c:pt idx="5">
                  <c:v>454</c:v>
                </c:pt>
                <c:pt idx="6">
                  <c:v>384</c:v>
                </c:pt>
                <c:pt idx="7">
                  <c:v>352</c:v>
                </c:pt>
                <c:pt idx="8">
                  <c:v>328</c:v>
                </c:pt>
                <c:pt idx="9">
                  <c:v>311</c:v>
                </c:pt>
                <c:pt idx="10">
                  <c:v>326</c:v>
                </c:pt>
                <c:pt idx="11">
                  <c:v>304</c:v>
                </c:pt>
                <c:pt idx="12">
                  <c:v>262</c:v>
                </c:pt>
                <c:pt idx="13">
                  <c:v>245</c:v>
                </c:pt>
                <c:pt idx="14">
                  <c:v>278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771392"/>
        <c:axId val="173781376"/>
      </c:lineChart>
      <c:catAx>
        <c:axId val="173771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781376"/>
        <c:crosses val="autoZero"/>
        <c:auto val="1"/>
        <c:lblAlgn val="ctr"/>
        <c:lblOffset val="100"/>
        <c:noMultiLvlLbl val="0"/>
      </c:catAx>
      <c:valAx>
        <c:axId val="173781376"/>
        <c:scaling>
          <c:orientation val="minMax"/>
        </c:scaling>
        <c:delete val="0"/>
        <c:axPos val="l"/>
        <c:majorGridlines>
          <c:spPr>
            <a:ln w="0" cmpd="sng">
              <a:solidFill>
                <a:srgbClr val="EEECE1">
                  <a:lumMod val="25000"/>
                </a:srgbClr>
              </a:solidFill>
              <a:prstDash val="sysDot"/>
            </a:ln>
          </c:spPr>
        </c:majorGridlines>
        <c:numFmt formatCode="_-* #,##0\ _K_č_-;\-* #,##0\ _K_č_-;_-* &quot;-&quot;??\ _K_č_-;_-@_-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771392"/>
        <c:crosses val="autoZero"/>
        <c:crossBetween val="between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76101374942811051"/>
          <c:y val="0.92178814382896013"/>
          <c:w val="0.20580108679075662"/>
          <c:h val="5.850615611824031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EEECE1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Nehody na přechodech pro chodce</a:t>
            </a:r>
            <a:r>
              <a:rPr lang="cs-CZ" b="0"/>
              <a:t>; Praha 2000 - 2012</a:t>
            </a:r>
          </a:p>
        </c:rich>
      </c:tx>
      <c:layout>
        <c:manualLayout>
          <c:xMode val="edge"/>
          <c:yMode val="edge"/>
          <c:x val="0.22532152230971128"/>
          <c:y val="2.7687783840297971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počet nehod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Chodci!$E$73:$E$85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Chodci!$F$73:$F$85</c:f>
              <c:numCache>
                <c:formatCode>0</c:formatCode>
                <c:ptCount val="13"/>
                <c:pt idx="0">
                  <c:v>330</c:v>
                </c:pt>
                <c:pt idx="1">
                  <c:v>448</c:v>
                </c:pt>
                <c:pt idx="2">
                  <c:v>429</c:v>
                </c:pt>
                <c:pt idx="3">
                  <c:v>371</c:v>
                </c:pt>
                <c:pt idx="4">
                  <c:v>354</c:v>
                </c:pt>
                <c:pt idx="5">
                  <c:v>342</c:v>
                </c:pt>
                <c:pt idx="6">
                  <c:v>289</c:v>
                </c:pt>
                <c:pt idx="7">
                  <c:v>302</c:v>
                </c:pt>
                <c:pt idx="8">
                  <c:v>316</c:v>
                </c:pt>
                <c:pt idx="9">
                  <c:v>328</c:v>
                </c:pt>
                <c:pt idx="10">
                  <c:v>281</c:v>
                </c:pt>
                <c:pt idx="11">
                  <c:v>268</c:v>
                </c:pt>
                <c:pt idx="12">
                  <c:v>298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879680"/>
        <c:axId val="173881216"/>
      </c:lineChart>
      <c:catAx>
        <c:axId val="173879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881216"/>
        <c:crosses val="autoZero"/>
        <c:auto val="1"/>
        <c:lblAlgn val="ctr"/>
        <c:lblOffset val="100"/>
        <c:noMultiLvlLbl val="0"/>
      </c:catAx>
      <c:valAx>
        <c:axId val="173881216"/>
        <c:scaling>
          <c:orientation val="minMax"/>
          <c:min val="0"/>
        </c:scaling>
        <c:delete val="0"/>
        <c:axPos val="l"/>
        <c:majorGridlines>
          <c:spPr>
            <a:ln w="0" cmpd="sng">
              <a:solidFill>
                <a:srgbClr val="EEECE1">
                  <a:lumMod val="25000"/>
                </a:srgbClr>
              </a:solidFill>
              <a:prstDash val="sysDot"/>
            </a:ln>
          </c:spPr>
        </c:majorGridlines>
        <c:numFmt formatCode="0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879680"/>
        <c:crosses val="autoZero"/>
        <c:crossBetween val="between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7247773775113554"/>
          <c:y val="0.92653823019057557"/>
          <c:w val="0.24815366433626176"/>
          <c:h val="5.3756185223781963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Nehody zaviněné nedáním přednosti chodci na vyznačeném přechodu</a:t>
            </a:r>
            <a:r>
              <a:rPr lang="cs-CZ" b="0"/>
              <a:t>; </a:t>
            </a:r>
          </a:p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 b="0"/>
              <a:t> Praha 2000 - 2012</a:t>
            </a:r>
          </a:p>
        </c:rich>
      </c:tx>
      <c:layout>
        <c:manualLayout>
          <c:xMode val="edge"/>
          <c:yMode val="edge"/>
          <c:x val="0.15660343023595644"/>
          <c:y val="2.7690668637470141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>
        <c:manualLayout>
          <c:layoutTarget val="inner"/>
          <c:xMode val="edge"/>
          <c:yMode val="edge"/>
          <c:x val="5.6212043363353954E-2"/>
          <c:y val="0.13102326748660376"/>
          <c:w val="0.92065610991220326"/>
          <c:h val="0.73466018637050223"/>
        </c:manualLayout>
      </c:layout>
      <c:lineChart>
        <c:grouping val="standard"/>
        <c:varyColors val="0"/>
        <c:ser>
          <c:idx val="0"/>
          <c:order val="0"/>
          <c:tx>
            <c:v>počet nehod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Chodci!$E$89:$E$101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Chodci!$F$89:$F$101</c:f>
              <c:numCache>
                <c:formatCode>0</c:formatCode>
                <c:ptCount val="13"/>
                <c:pt idx="0">
                  <c:v>183</c:v>
                </c:pt>
                <c:pt idx="1">
                  <c:v>319</c:v>
                </c:pt>
                <c:pt idx="2">
                  <c:v>324</c:v>
                </c:pt>
                <c:pt idx="3">
                  <c:v>261</c:v>
                </c:pt>
                <c:pt idx="4">
                  <c:v>260</c:v>
                </c:pt>
                <c:pt idx="5">
                  <c:v>231</c:v>
                </c:pt>
                <c:pt idx="6">
                  <c:v>197</c:v>
                </c:pt>
                <c:pt idx="7">
                  <c:v>232</c:v>
                </c:pt>
                <c:pt idx="8">
                  <c:v>229</c:v>
                </c:pt>
                <c:pt idx="9">
                  <c:v>239</c:v>
                </c:pt>
                <c:pt idx="10">
                  <c:v>197</c:v>
                </c:pt>
                <c:pt idx="11">
                  <c:v>201</c:v>
                </c:pt>
                <c:pt idx="12">
                  <c:v>214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921792"/>
        <c:axId val="173923328"/>
      </c:lineChart>
      <c:catAx>
        <c:axId val="173921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923328"/>
        <c:crosses val="autoZero"/>
        <c:auto val="1"/>
        <c:lblAlgn val="ctr"/>
        <c:lblOffset val="100"/>
        <c:noMultiLvlLbl val="0"/>
      </c:catAx>
      <c:valAx>
        <c:axId val="173923328"/>
        <c:scaling>
          <c:orientation val="minMax"/>
          <c:max val="350"/>
          <c:min val="0"/>
        </c:scaling>
        <c:delete val="0"/>
        <c:axPos val="l"/>
        <c:majorGridlines>
          <c:spPr>
            <a:ln w="0" cmpd="sng">
              <a:solidFill>
                <a:srgbClr val="EEECE1">
                  <a:lumMod val="25000"/>
                </a:srgbClr>
              </a:solidFill>
              <a:prstDash val="sysDot"/>
            </a:ln>
          </c:spPr>
        </c:majorGridlines>
        <c:numFmt formatCode="0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921792"/>
        <c:crosses val="autoZero"/>
        <c:crossBetween val="between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69369746997238724"/>
          <c:y val="0.91463789737046552"/>
          <c:w val="0.27179853447687075"/>
          <c:h val="5.6000892620404766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Usmrcené osoby u nehod na přechodech; </a:t>
            </a:r>
            <a:r>
              <a:rPr lang="cs-CZ" b="0"/>
              <a:t>Praha 2000 - 2012</a:t>
            </a:r>
          </a:p>
        </c:rich>
      </c:tx>
      <c:layout>
        <c:manualLayout>
          <c:xMode val="edge"/>
          <c:yMode val="edge"/>
          <c:x val="0.22532152230971128"/>
          <c:y val="2.7687783840297971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Usmrcení při nehodách na přechodech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Chodci!$E$73:$E$85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Chodci!$G$73:$G$85</c:f>
              <c:numCache>
                <c:formatCode>0</c:formatCode>
                <c:ptCount val="13"/>
                <c:pt idx="0">
                  <c:v>6</c:v>
                </c:pt>
                <c:pt idx="1">
                  <c:v>15</c:v>
                </c:pt>
                <c:pt idx="2">
                  <c:v>11</c:v>
                </c:pt>
                <c:pt idx="3">
                  <c:v>6</c:v>
                </c:pt>
                <c:pt idx="4">
                  <c:v>6</c:v>
                </c:pt>
                <c:pt idx="5">
                  <c:v>17</c:v>
                </c:pt>
                <c:pt idx="6">
                  <c:v>10</c:v>
                </c:pt>
                <c:pt idx="7">
                  <c:v>7</c:v>
                </c:pt>
                <c:pt idx="8">
                  <c:v>4</c:v>
                </c:pt>
                <c:pt idx="9">
                  <c:v>7</c:v>
                </c:pt>
                <c:pt idx="10">
                  <c:v>5</c:v>
                </c:pt>
                <c:pt idx="11">
                  <c:v>8</c:v>
                </c:pt>
                <c:pt idx="12">
                  <c:v>4</c:v>
                </c:pt>
              </c:numCache>
            </c:numRef>
          </c:val>
          <c:smooth val="1"/>
        </c:ser>
        <c:ser>
          <c:idx val="1"/>
          <c:order val="1"/>
          <c:tx>
            <c:v>usmrcení při nedání přednosti chodci na přechodu</c:v>
          </c:tx>
          <c:spPr>
            <a:ln w="25400">
              <a:solidFill>
                <a:srgbClr val="C0504D">
                  <a:lumMod val="75000"/>
                </a:srgbClr>
              </a:solidFill>
            </a:ln>
          </c:spPr>
          <c:marker>
            <c:symbol val="none"/>
          </c:marker>
          <c:cat>
            <c:numRef>
              <c:f>Chodci!$E$73:$E$85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Chodci!$G$89:$G$101</c:f>
              <c:numCache>
                <c:formatCode>0</c:formatCode>
                <c:ptCount val="13"/>
                <c:pt idx="0">
                  <c:v>6</c:v>
                </c:pt>
                <c:pt idx="1">
                  <c:v>11</c:v>
                </c:pt>
                <c:pt idx="2">
                  <c:v>9</c:v>
                </c:pt>
                <c:pt idx="3">
                  <c:v>6</c:v>
                </c:pt>
                <c:pt idx="4">
                  <c:v>5</c:v>
                </c:pt>
                <c:pt idx="5">
                  <c:v>9</c:v>
                </c:pt>
                <c:pt idx="6">
                  <c:v>5</c:v>
                </c:pt>
                <c:pt idx="7">
                  <c:v>0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7</c:v>
                </c:pt>
                <c:pt idx="12">
                  <c:v>4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961216"/>
        <c:axId val="173962752"/>
      </c:lineChart>
      <c:catAx>
        <c:axId val="173961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962752"/>
        <c:crosses val="autoZero"/>
        <c:auto val="1"/>
        <c:lblAlgn val="ctr"/>
        <c:lblOffset val="100"/>
        <c:noMultiLvlLbl val="0"/>
      </c:catAx>
      <c:valAx>
        <c:axId val="173962752"/>
        <c:scaling>
          <c:orientation val="minMax"/>
        </c:scaling>
        <c:delete val="0"/>
        <c:axPos val="l"/>
        <c:majorGridlines>
          <c:spPr>
            <a:ln w="0" cmpd="sng">
              <a:solidFill>
                <a:srgbClr val="EEECE1">
                  <a:lumMod val="25000"/>
                </a:srgbClr>
              </a:solidFill>
              <a:prstDash val="sysDot"/>
            </a:ln>
          </c:spPr>
        </c:majorGridlines>
        <c:numFmt formatCode="0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73961216"/>
        <c:crosses val="autoZero"/>
        <c:crossBetween val="between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6.1727275866832437E-2"/>
          <c:y val="0.91802221276976426"/>
          <c:w val="0.91120372288990192"/>
          <c:h val="6.2272166401754099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r>
              <a:rPr lang="cs-CZ"/>
              <a:t>Nehody s účastí cyklistů; Praha 2007 - 2012</a:t>
            </a:r>
          </a:p>
        </c:rich>
      </c:tx>
      <c:layout>
        <c:manualLayout>
          <c:xMode val="edge"/>
          <c:yMode val="edge"/>
          <c:x val="0.26499108626561546"/>
          <c:y val="2.7692023509163385E-2"/>
        </c:manualLayout>
      </c:layout>
      <c:overlay val="0"/>
      <c:spPr>
        <a:ln w="6350" cap="rnd"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cene3d>
          <a:camera prst="orthographicFront"/>
          <a:lightRig rig="threePt" dir="t"/>
        </a:scene3d>
        <a:sp3d>
          <a:bevelT w="152400" h="50800" prst="softRound"/>
        </a:sp3d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počet nehod</c:v>
          </c:tx>
          <c:spPr>
            <a:ln>
              <a:solidFill>
                <a:srgbClr val="EEECE1">
                  <a:lumMod val="25000"/>
                </a:srgbClr>
              </a:solidFill>
            </a:ln>
            <a:effectLst/>
          </c:spPr>
          <c:marker>
            <c:symbol val="none"/>
          </c:marker>
          <c:cat>
            <c:numRef>
              <c:f>cyklisté!$C$9:$H$9</c:f>
              <c:numCache>
                <c:formatCode>General</c:formatCode>
                <c:ptCount val="6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</c:numCache>
            </c:numRef>
          </c:cat>
          <c:val>
            <c:numRef>
              <c:f>cyklisté!$C$10:$H$10</c:f>
              <c:numCache>
                <c:formatCode>General</c:formatCode>
                <c:ptCount val="6"/>
                <c:pt idx="0">
                  <c:v>122</c:v>
                </c:pt>
                <c:pt idx="1">
                  <c:v>100</c:v>
                </c:pt>
                <c:pt idx="2">
                  <c:v>143</c:v>
                </c:pt>
                <c:pt idx="3">
                  <c:v>124</c:v>
                </c:pt>
                <c:pt idx="4">
                  <c:v>183</c:v>
                </c:pt>
                <c:pt idx="5">
                  <c:v>179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1360128"/>
        <c:axId val="181361664"/>
      </c:lineChart>
      <c:catAx>
        <c:axId val="181360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81361664"/>
        <c:crosses val="autoZero"/>
        <c:auto val="1"/>
        <c:lblAlgn val="ctr"/>
        <c:lblOffset val="100"/>
        <c:noMultiLvlLbl val="0"/>
      </c:catAx>
      <c:valAx>
        <c:axId val="181361664"/>
        <c:scaling>
          <c:orientation val="minMax"/>
        </c:scaling>
        <c:delete val="0"/>
        <c:axPos val="l"/>
        <c:majorGridlines>
          <c:spPr>
            <a:ln w="0" cmpd="sng">
              <a:solidFill>
                <a:srgbClr val="EEECE1">
                  <a:lumMod val="25000"/>
                </a:srgbClr>
              </a:solidFill>
              <a:prstDash val="sysDot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/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181360128"/>
        <c:crosses val="autoZero"/>
        <c:crossBetween val="between"/>
      </c:valAx>
      <c:spPr>
        <a:solidFill>
          <a:srgbClr val="EEECE1">
            <a:lumMod val="90000"/>
          </a:srgbClr>
        </a:solidFill>
        <a:ln w="3175" cap="rnd">
          <a:solidFill>
            <a:srgbClr val="EEECE1">
              <a:lumMod val="50000"/>
            </a:srgbClr>
          </a:solidFill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</c:plotArea>
    <c:legend>
      <c:legendPos val="b"/>
      <c:layout>
        <c:manualLayout>
          <c:xMode val="edge"/>
          <c:yMode val="edge"/>
          <c:x val="0.63390580114493567"/>
          <c:y val="0.9151405097164157"/>
          <c:w val="0.33902515138363615"/>
          <c:h val="6.5153761317294626E-2"/>
        </c:manualLayout>
      </c:layout>
      <c:overlay val="0"/>
      <c:spPr>
        <a:solidFill>
          <a:srgbClr val="EEECE1">
            <a:lumMod val="90000"/>
          </a:srgbClr>
        </a:solidFill>
        <a:ln w="3175">
          <a:solidFill>
            <a:srgbClr val="EEECE1">
              <a:lumMod val="50000"/>
            </a:srgbClr>
          </a:solidFill>
          <a:prstDash val="sysDot"/>
        </a:ln>
        <a:effectLst>
          <a:outerShdw blurRad="50800" dist="38100" dir="2700000" algn="tl" rotWithShape="0">
            <a:srgbClr val="9BBB59">
              <a:lumMod val="50000"/>
              <a:alpha val="40000"/>
            </a:srgbClr>
          </a:outerShdw>
        </a:effectLst>
      </c:spPr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EEECE1">
        <a:lumMod val="75000"/>
      </a:srgbClr>
    </a:solidFill>
    <a:ln w="3175">
      <a:solidFill>
        <a:srgbClr val="EEECE1">
          <a:lumMod val="50000"/>
        </a:srgbClr>
      </a:solidFill>
    </a:ln>
    <a:effectLst>
      <a:outerShdw blurRad="50800" dist="38100" dir="2700000" algn="tl" rotWithShape="0">
        <a:srgbClr val="9BBB59">
          <a:lumMod val="50000"/>
          <a:alpha val="40000"/>
        </a:srgbClr>
      </a:outerShdw>
    </a:effectLst>
  </c:spPr>
  <c:externalData r:id="rId2">
    <c:autoUpdate val="0"/>
  </c:externalData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DI</Template>
  <TotalTime>589</TotalTime>
  <Pages>22</Pages>
  <Words>3283</Words>
  <Characters>19375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Animi.cz</Company>
  <LinksUpToDate>false</LinksUpToDate>
  <CharactersWithSpaces>22613</CharactersWithSpaces>
  <SharedDoc>false</SharedDoc>
  <HLinks>
    <vt:vector size="6" baseType="variant">
      <vt:variant>
        <vt:i4>2686992</vt:i4>
      </vt:variant>
      <vt:variant>
        <vt:i4>0</vt:i4>
      </vt:variant>
      <vt:variant>
        <vt:i4>0</vt:i4>
      </vt:variant>
      <vt:variant>
        <vt:i4>5</vt:i4>
      </vt:variant>
      <vt:variant>
        <vt:lpwstr>mailto:hirschj@army.cz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 DI PČR</dc:creator>
  <cp:lastModifiedBy>Jan Straka</cp:lastModifiedBy>
  <cp:revision>17</cp:revision>
  <cp:lastPrinted>2013-01-17T12:47:00Z</cp:lastPrinted>
  <dcterms:created xsi:type="dcterms:W3CDTF">2013-01-15T09:04:00Z</dcterms:created>
  <dcterms:modified xsi:type="dcterms:W3CDTF">2013-01-18T08:58:00Z</dcterms:modified>
</cp:coreProperties>
</file>