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E68" w:rsidRDefault="001E33F4">
      <w:r>
        <w:rPr>
          <w:noProof/>
          <w:lang w:eastAsia="cs-CZ"/>
        </w:rPr>
        <w:drawing>
          <wp:inline distT="0" distB="0" distL="0" distR="0" wp14:anchorId="47908EDD" wp14:editId="007FFE2A">
            <wp:extent cx="9182100" cy="5473700"/>
            <wp:effectExtent l="0" t="0" r="19050" b="1270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Start w:id="0" w:name="_GoBack"/>
      <w:bookmarkEnd w:id="0"/>
    </w:p>
    <w:sectPr w:rsidR="00BA5E68" w:rsidSect="001E33F4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464" w:rsidRDefault="00791464" w:rsidP="001E33F4">
      <w:pPr>
        <w:spacing w:after="0" w:line="240" w:lineRule="auto"/>
      </w:pPr>
      <w:r>
        <w:separator/>
      </w:r>
    </w:p>
  </w:endnote>
  <w:endnote w:type="continuationSeparator" w:id="0">
    <w:p w:rsidR="00791464" w:rsidRDefault="00791464" w:rsidP="001E3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464" w:rsidRDefault="00791464" w:rsidP="001E33F4">
      <w:pPr>
        <w:spacing w:after="0" w:line="240" w:lineRule="auto"/>
      </w:pPr>
      <w:r>
        <w:separator/>
      </w:r>
    </w:p>
  </w:footnote>
  <w:footnote w:type="continuationSeparator" w:id="0">
    <w:p w:rsidR="00791464" w:rsidRDefault="00791464" w:rsidP="001E3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3F4" w:rsidRPr="001E33F4" w:rsidRDefault="001E33F4" w:rsidP="001E33F4">
    <w:pPr>
      <w:pStyle w:val="Zhlav"/>
      <w:jc w:val="center"/>
      <w:rPr>
        <w:rFonts w:cstheme="minorHAnsi"/>
        <w:sz w:val="52"/>
        <w:szCs w:val="52"/>
      </w:rPr>
    </w:pPr>
    <w:r w:rsidRPr="001E33F4">
      <w:rPr>
        <w:rFonts w:cstheme="minorHAnsi"/>
        <w:sz w:val="52"/>
        <w:szCs w:val="52"/>
      </w:rPr>
      <w:t>Kriminalita nezletilých na ÚO Děčín – rok 2013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3F4"/>
    <w:rsid w:val="001E33F4"/>
    <w:rsid w:val="00721CE7"/>
    <w:rsid w:val="00791464"/>
    <w:rsid w:val="00BA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E3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33F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E33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E33F4"/>
  </w:style>
  <w:style w:type="paragraph" w:styleId="Zpat">
    <w:name w:val="footer"/>
    <w:basedOn w:val="Normln"/>
    <w:link w:val="ZpatChar"/>
    <w:uiPriority w:val="99"/>
    <w:unhideWhenUsed/>
    <w:rsid w:val="001E33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33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E3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33F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E33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E33F4"/>
  </w:style>
  <w:style w:type="paragraph" w:styleId="Zpat">
    <w:name w:val="footer"/>
    <w:basedOn w:val="Normln"/>
    <w:link w:val="ZpatChar"/>
    <w:uiPriority w:val="99"/>
    <w:unhideWhenUsed/>
    <w:rsid w:val="001E33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3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pk279011\Dokumenty\Kriminalita%20d&#283;t&#237;%20a%20ml&#225;de&#382;e%20&#218;O%20D&#283;&#269;&#237;n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List2!$C$1</c:f>
              <c:strCache>
                <c:ptCount val="1"/>
                <c:pt idx="0">
                  <c:v>OOP Benešov n/Pl.</c:v>
                </c:pt>
              </c:strCache>
            </c:strRef>
          </c:tx>
          <c:invertIfNegative val="0"/>
          <c:cat>
            <c:strRef>
              <c:f>List2!$A$2:$A$12</c:f>
              <c:strCache>
                <c:ptCount val="11"/>
                <c:pt idx="1">
                  <c:v>Celková TČ</c:v>
                </c:pt>
                <c:pt idx="2">
                  <c:v>Obecná TČ</c:v>
                </c:pt>
                <c:pt idx="3">
                  <c:v>Násilná TČ</c:v>
                </c:pt>
                <c:pt idx="4">
                  <c:v>Mravnostní TČ</c:v>
                </c:pt>
                <c:pt idx="5">
                  <c:v>Majetková TČ</c:v>
                </c:pt>
                <c:pt idx="6">
                  <c:v>Krádeže vloupáním</c:v>
                </c:pt>
                <c:pt idx="7">
                  <c:v>Krádeže prosté</c:v>
                </c:pt>
                <c:pt idx="8">
                  <c:v>Ostatní TČ</c:v>
                </c:pt>
                <c:pt idx="9">
                  <c:v>Hospodářská TČ</c:v>
                </c:pt>
                <c:pt idx="10">
                  <c:v>Zbývající TČ</c:v>
                </c:pt>
              </c:strCache>
            </c:strRef>
          </c:cat>
          <c:val>
            <c:numRef>
              <c:f>List2!$C$2:$C$12</c:f>
              <c:numCache>
                <c:formatCode>General</c:formatCode>
                <c:ptCount val="11"/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</c:ser>
        <c:ser>
          <c:idx val="1"/>
          <c:order val="1"/>
          <c:tx>
            <c:strRef>
              <c:f>List2!$D$1</c:f>
              <c:strCache>
                <c:ptCount val="1"/>
                <c:pt idx="0">
                  <c:v>OOP Česká Kamenice</c:v>
                </c:pt>
              </c:strCache>
            </c:strRef>
          </c:tx>
          <c:invertIfNegative val="0"/>
          <c:cat>
            <c:strRef>
              <c:f>List2!$A$2:$A$12</c:f>
              <c:strCache>
                <c:ptCount val="11"/>
                <c:pt idx="1">
                  <c:v>Celková TČ</c:v>
                </c:pt>
                <c:pt idx="2">
                  <c:v>Obecná TČ</c:v>
                </c:pt>
                <c:pt idx="3">
                  <c:v>Násilná TČ</c:v>
                </c:pt>
                <c:pt idx="4">
                  <c:v>Mravnostní TČ</c:v>
                </c:pt>
                <c:pt idx="5">
                  <c:v>Majetková TČ</c:v>
                </c:pt>
                <c:pt idx="6">
                  <c:v>Krádeže vloupáním</c:v>
                </c:pt>
                <c:pt idx="7">
                  <c:v>Krádeže prosté</c:v>
                </c:pt>
                <c:pt idx="8">
                  <c:v>Ostatní TČ</c:v>
                </c:pt>
                <c:pt idx="9">
                  <c:v>Hospodářská TČ</c:v>
                </c:pt>
                <c:pt idx="10">
                  <c:v>Zbývající TČ</c:v>
                </c:pt>
              </c:strCache>
            </c:strRef>
          </c:cat>
          <c:val>
            <c:numRef>
              <c:f>List2!$D$2:$D$12</c:f>
              <c:numCache>
                <c:formatCode>General</c:formatCode>
                <c:ptCount val="11"/>
                <c:pt idx="1">
                  <c:v>1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1</c:v>
                </c:pt>
                <c:pt idx="6">
                  <c:v>1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</c:ser>
        <c:ser>
          <c:idx val="2"/>
          <c:order val="2"/>
          <c:tx>
            <c:strRef>
              <c:f>List2!$E$1</c:f>
              <c:strCache>
                <c:ptCount val="1"/>
                <c:pt idx="0">
                  <c:v>OOP Děčín - Podmokly </c:v>
                </c:pt>
              </c:strCache>
            </c:strRef>
          </c:tx>
          <c:invertIfNegative val="0"/>
          <c:cat>
            <c:strRef>
              <c:f>List2!$A$2:$A$12</c:f>
              <c:strCache>
                <c:ptCount val="11"/>
                <c:pt idx="1">
                  <c:v>Celková TČ</c:v>
                </c:pt>
                <c:pt idx="2">
                  <c:v>Obecná TČ</c:v>
                </c:pt>
                <c:pt idx="3">
                  <c:v>Násilná TČ</c:v>
                </c:pt>
                <c:pt idx="4">
                  <c:v>Mravnostní TČ</c:v>
                </c:pt>
                <c:pt idx="5">
                  <c:v>Majetková TČ</c:v>
                </c:pt>
                <c:pt idx="6">
                  <c:v>Krádeže vloupáním</c:v>
                </c:pt>
                <c:pt idx="7">
                  <c:v>Krádeže prosté</c:v>
                </c:pt>
                <c:pt idx="8">
                  <c:v>Ostatní TČ</c:v>
                </c:pt>
                <c:pt idx="9">
                  <c:v>Hospodářská TČ</c:v>
                </c:pt>
                <c:pt idx="10">
                  <c:v>Zbývající TČ</c:v>
                </c:pt>
              </c:strCache>
            </c:strRef>
          </c:cat>
          <c:val>
            <c:numRef>
              <c:f>List2!$E$2:$E$12</c:f>
              <c:numCache>
                <c:formatCode>General</c:formatCode>
                <c:ptCount val="11"/>
                <c:pt idx="1">
                  <c:v>6</c:v>
                </c:pt>
                <c:pt idx="2">
                  <c:v>6</c:v>
                </c:pt>
                <c:pt idx="3">
                  <c:v>3</c:v>
                </c:pt>
                <c:pt idx="4">
                  <c:v>0</c:v>
                </c:pt>
                <c:pt idx="5">
                  <c:v>3</c:v>
                </c:pt>
                <c:pt idx="6">
                  <c:v>0</c:v>
                </c:pt>
                <c:pt idx="7">
                  <c:v>3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</c:ser>
        <c:ser>
          <c:idx val="3"/>
          <c:order val="3"/>
          <c:tx>
            <c:strRef>
              <c:f>List2!$F$1</c:f>
              <c:strCache>
                <c:ptCount val="1"/>
                <c:pt idx="0">
                  <c:v>OOP Krásná Lípa</c:v>
                </c:pt>
              </c:strCache>
            </c:strRef>
          </c:tx>
          <c:invertIfNegative val="0"/>
          <c:cat>
            <c:strRef>
              <c:f>List2!$A$2:$A$12</c:f>
              <c:strCache>
                <c:ptCount val="11"/>
                <c:pt idx="1">
                  <c:v>Celková TČ</c:v>
                </c:pt>
                <c:pt idx="2">
                  <c:v>Obecná TČ</c:v>
                </c:pt>
                <c:pt idx="3">
                  <c:v>Násilná TČ</c:v>
                </c:pt>
                <c:pt idx="4">
                  <c:v>Mravnostní TČ</c:v>
                </c:pt>
                <c:pt idx="5">
                  <c:v>Majetková TČ</c:v>
                </c:pt>
                <c:pt idx="6">
                  <c:v>Krádeže vloupáním</c:v>
                </c:pt>
                <c:pt idx="7">
                  <c:v>Krádeže prosté</c:v>
                </c:pt>
                <c:pt idx="8">
                  <c:v>Ostatní TČ</c:v>
                </c:pt>
                <c:pt idx="9">
                  <c:v>Hospodářská TČ</c:v>
                </c:pt>
                <c:pt idx="10">
                  <c:v>Zbývající TČ</c:v>
                </c:pt>
              </c:strCache>
            </c:strRef>
          </c:cat>
          <c:val>
            <c:numRef>
              <c:f>List2!$F$2:$F$12</c:f>
              <c:numCache>
                <c:formatCode>General</c:formatCode>
                <c:ptCount val="11"/>
                <c:pt idx="1">
                  <c:v>2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  <c:pt idx="5">
                  <c:v>2</c:v>
                </c:pt>
                <c:pt idx="6">
                  <c:v>1</c:v>
                </c:pt>
                <c:pt idx="7">
                  <c:v>1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</c:ser>
        <c:ser>
          <c:idx val="4"/>
          <c:order val="4"/>
          <c:tx>
            <c:strRef>
              <c:f>List2!$G$1</c:f>
              <c:strCache>
                <c:ptCount val="1"/>
                <c:pt idx="0">
                  <c:v>OOP Rumburk</c:v>
                </c:pt>
              </c:strCache>
            </c:strRef>
          </c:tx>
          <c:invertIfNegative val="0"/>
          <c:cat>
            <c:strRef>
              <c:f>List2!$A$2:$A$12</c:f>
              <c:strCache>
                <c:ptCount val="11"/>
                <c:pt idx="1">
                  <c:v>Celková TČ</c:v>
                </c:pt>
                <c:pt idx="2">
                  <c:v>Obecná TČ</c:v>
                </c:pt>
                <c:pt idx="3">
                  <c:v>Násilná TČ</c:v>
                </c:pt>
                <c:pt idx="4">
                  <c:v>Mravnostní TČ</c:v>
                </c:pt>
                <c:pt idx="5">
                  <c:v>Majetková TČ</c:v>
                </c:pt>
                <c:pt idx="6">
                  <c:v>Krádeže vloupáním</c:v>
                </c:pt>
                <c:pt idx="7">
                  <c:v>Krádeže prosté</c:v>
                </c:pt>
                <c:pt idx="8">
                  <c:v>Ostatní TČ</c:v>
                </c:pt>
                <c:pt idx="9">
                  <c:v>Hospodářská TČ</c:v>
                </c:pt>
                <c:pt idx="10">
                  <c:v>Zbývající TČ</c:v>
                </c:pt>
              </c:strCache>
            </c:strRef>
          </c:cat>
          <c:val>
            <c:numRef>
              <c:f>List2!$G$2:$G$12</c:f>
              <c:numCache>
                <c:formatCode>General</c:formatCode>
                <c:ptCount val="11"/>
                <c:pt idx="1">
                  <c:v>3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  <c:pt idx="5">
                  <c:v>1</c:v>
                </c:pt>
                <c:pt idx="6">
                  <c:v>0</c:v>
                </c:pt>
                <c:pt idx="7">
                  <c:v>1</c:v>
                </c:pt>
                <c:pt idx="8">
                  <c:v>1</c:v>
                </c:pt>
                <c:pt idx="9">
                  <c:v>0</c:v>
                </c:pt>
                <c:pt idx="10">
                  <c:v>1</c:v>
                </c:pt>
              </c:numCache>
            </c:numRef>
          </c:val>
        </c:ser>
        <c:ser>
          <c:idx val="5"/>
          <c:order val="5"/>
          <c:tx>
            <c:strRef>
              <c:f>List2!$H$1</c:f>
              <c:strCache>
                <c:ptCount val="1"/>
                <c:pt idx="0">
                  <c:v>OOP Šluknov</c:v>
                </c:pt>
              </c:strCache>
            </c:strRef>
          </c:tx>
          <c:invertIfNegative val="0"/>
          <c:cat>
            <c:strRef>
              <c:f>List2!$A$2:$A$12</c:f>
              <c:strCache>
                <c:ptCount val="11"/>
                <c:pt idx="1">
                  <c:v>Celková TČ</c:v>
                </c:pt>
                <c:pt idx="2">
                  <c:v>Obecná TČ</c:v>
                </c:pt>
                <c:pt idx="3">
                  <c:v>Násilná TČ</c:v>
                </c:pt>
                <c:pt idx="4">
                  <c:v>Mravnostní TČ</c:v>
                </c:pt>
                <c:pt idx="5">
                  <c:v>Majetková TČ</c:v>
                </c:pt>
                <c:pt idx="6">
                  <c:v>Krádeže vloupáním</c:v>
                </c:pt>
                <c:pt idx="7">
                  <c:v>Krádeže prosté</c:v>
                </c:pt>
                <c:pt idx="8">
                  <c:v>Ostatní TČ</c:v>
                </c:pt>
                <c:pt idx="9">
                  <c:v>Hospodářská TČ</c:v>
                </c:pt>
                <c:pt idx="10">
                  <c:v>Zbývající TČ</c:v>
                </c:pt>
              </c:strCache>
            </c:strRef>
          </c:cat>
          <c:val>
            <c:numRef>
              <c:f>List2!$H$2:$H$12</c:f>
              <c:numCache>
                <c:formatCode>General</c:formatCode>
                <c:ptCount val="11"/>
                <c:pt idx="1">
                  <c:v>4</c:v>
                </c:pt>
                <c:pt idx="2">
                  <c:v>4</c:v>
                </c:pt>
                <c:pt idx="3">
                  <c:v>0</c:v>
                </c:pt>
                <c:pt idx="4">
                  <c:v>0</c:v>
                </c:pt>
                <c:pt idx="5">
                  <c:v>3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</c:ser>
        <c:ser>
          <c:idx val="6"/>
          <c:order val="6"/>
          <c:tx>
            <c:strRef>
              <c:f>List2!$I$1</c:f>
              <c:strCache>
                <c:ptCount val="1"/>
                <c:pt idx="0">
                  <c:v>OOP Vanrsdorf</c:v>
                </c:pt>
              </c:strCache>
            </c:strRef>
          </c:tx>
          <c:invertIfNegative val="0"/>
          <c:cat>
            <c:strRef>
              <c:f>List2!$A$2:$A$12</c:f>
              <c:strCache>
                <c:ptCount val="11"/>
                <c:pt idx="1">
                  <c:v>Celková TČ</c:v>
                </c:pt>
                <c:pt idx="2">
                  <c:v>Obecná TČ</c:v>
                </c:pt>
                <c:pt idx="3">
                  <c:v>Násilná TČ</c:v>
                </c:pt>
                <c:pt idx="4">
                  <c:v>Mravnostní TČ</c:v>
                </c:pt>
                <c:pt idx="5">
                  <c:v>Majetková TČ</c:v>
                </c:pt>
                <c:pt idx="6">
                  <c:v>Krádeže vloupáním</c:v>
                </c:pt>
                <c:pt idx="7">
                  <c:v>Krádeže prosté</c:v>
                </c:pt>
                <c:pt idx="8">
                  <c:v>Ostatní TČ</c:v>
                </c:pt>
                <c:pt idx="9">
                  <c:v>Hospodářská TČ</c:v>
                </c:pt>
                <c:pt idx="10">
                  <c:v>Zbývající TČ</c:v>
                </c:pt>
              </c:strCache>
            </c:strRef>
          </c:cat>
          <c:val>
            <c:numRef>
              <c:f>List2!$I$2:$I$12</c:f>
              <c:numCache>
                <c:formatCode>General</c:formatCode>
                <c:ptCount val="11"/>
                <c:pt idx="1">
                  <c:v>5</c:v>
                </c:pt>
                <c:pt idx="2">
                  <c:v>4</c:v>
                </c:pt>
                <c:pt idx="3">
                  <c:v>0</c:v>
                </c:pt>
                <c:pt idx="4">
                  <c:v>0</c:v>
                </c:pt>
                <c:pt idx="5">
                  <c:v>4</c:v>
                </c:pt>
                <c:pt idx="6">
                  <c:v>1</c:v>
                </c:pt>
                <c:pt idx="7">
                  <c:v>3</c:v>
                </c:pt>
                <c:pt idx="8">
                  <c:v>0</c:v>
                </c:pt>
                <c:pt idx="9">
                  <c:v>0</c:v>
                </c:pt>
                <c:pt idx="10">
                  <c:v>1</c:v>
                </c:pt>
              </c:numCache>
            </c:numRef>
          </c:val>
        </c:ser>
        <c:ser>
          <c:idx val="7"/>
          <c:order val="7"/>
          <c:tx>
            <c:strRef>
              <c:f>List2!$J$1</c:f>
              <c:strCache>
                <c:ptCount val="1"/>
                <c:pt idx="0">
                  <c:v>OOP Velký Šenov</c:v>
                </c:pt>
              </c:strCache>
            </c:strRef>
          </c:tx>
          <c:invertIfNegative val="0"/>
          <c:cat>
            <c:strRef>
              <c:f>List2!$A$2:$A$12</c:f>
              <c:strCache>
                <c:ptCount val="11"/>
                <c:pt idx="1">
                  <c:v>Celková TČ</c:v>
                </c:pt>
                <c:pt idx="2">
                  <c:v>Obecná TČ</c:v>
                </c:pt>
                <c:pt idx="3">
                  <c:v>Násilná TČ</c:v>
                </c:pt>
                <c:pt idx="4">
                  <c:v>Mravnostní TČ</c:v>
                </c:pt>
                <c:pt idx="5">
                  <c:v>Majetková TČ</c:v>
                </c:pt>
                <c:pt idx="6">
                  <c:v>Krádeže vloupáním</c:v>
                </c:pt>
                <c:pt idx="7">
                  <c:v>Krádeže prosté</c:v>
                </c:pt>
                <c:pt idx="8">
                  <c:v>Ostatní TČ</c:v>
                </c:pt>
                <c:pt idx="9">
                  <c:v>Hospodářská TČ</c:v>
                </c:pt>
                <c:pt idx="10">
                  <c:v>Zbývající TČ</c:v>
                </c:pt>
              </c:strCache>
            </c:strRef>
          </c:cat>
          <c:val>
            <c:numRef>
              <c:f>List2!$J$2:$J$12</c:f>
              <c:numCache>
                <c:formatCode>General</c:formatCode>
                <c:ptCount val="11"/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</c:ser>
        <c:ser>
          <c:idx val="8"/>
          <c:order val="8"/>
          <c:tx>
            <c:strRef>
              <c:f>List2!$K$1</c:f>
              <c:strCache>
                <c:ptCount val="1"/>
                <c:pt idx="0">
                  <c:v>OOP Děčín Město</c:v>
                </c:pt>
              </c:strCache>
            </c:strRef>
          </c:tx>
          <c:invertIfNegative val="0"/>
          <c:cat>
            <c:strRef>
              <c:f>List2!$A$2:$A$12</c:f>
              <c:strCache>
                <c:ptCount val="11"/>
                <c:pt idx="1">
                  <c:v>Celková TČ</c:v>
                </c:pt>
                <c:pt idx="2">
                  <c:v>Obecná TČ</c:v>
                </c:pt>
                <c:pt idx="3">
                  <c:v>Násilná TČ</c:v>
                </c:pt>
                <c:pt idx="4">
                  <c:v>Mravnostní TČ</c:v>
                </c:pt>
                <c:pt idx="5">
                  <c:v>Majetková TČ</c:v>
                </c:pt>
                <c:pt idx="6">
                  <c:v>Krádeže vloupáním</c:v>
                </c:pt>
                <c:pt idx="7">
                  <c:v>Krádeže prosté</c:v>
                </c:pt>
                <c:pt idx="8">
                  <c:v>Ostatní TČ</c:v>
                </c:pt>
                <c:pt idx="9">
                  <c:v>Hospodářská TČ</c:v>
                </c:pt>
                <c:pt idx="10">
                  <c:v>Zbývající TČ</c:v>
                </c:pt>
              </c:strCache>
            </c:strRef>
          </c:cat>
          <c:val>
            <c:numRef>
              <c:f>List2!$K$2:$K$12</c:f>
              <c:numCache>
                <c:formatCode>General</c:formatCode>
                <c:ptCount val="11"/>
                <c:pt idx="1">
                  <c:v>6</c:v>
                </c:pt>
                <c:pt idx="2">
                  <c:v>6</c:v>
                </c:pt>
                <c:pt idx="3">
                  <c:v>1</c:v>
                </c:pt>
                <c:pt idx="4">
                  <c:v>1</c:v>
                </c:pt>
                <c:pt idx="5">
                  <c:v>4</c:v>
                </c:pt>
                <c:pt idx="6">
                  <c:v>1</c:v>
                </c:pt>
                <c:pt idx="7">
                  <c:v>2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57351040"/>
        <c:axId val="257442944"/>
        <c:axId val="0"/>
      </c:bar3DChart>
      <c:catAx>
        <c:axId val="2573510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57442944"/>
        <c:crosses val="autoZero"/>
        <c:auto val="1"/>
        <c:lblAlgn val="ctr"/>
        <c:lblOffset val="100"/>
        <c:noMultiLvlLbl val="0"/>
      </c:catAx>
      <c:valAx>
        <c:axId val="2574429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5735104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Trypesová</dc:creator>
  <cp:keywords/>
  <dc:description/>
  <cp:lastModifiedBy>Petra Trypesová</cp:lastModifiedBy>
  <cp:revision>2</cp:revision>
  <dcterms:created xsi:type="dcterms:W3CDTF">2014-02-20T14:14:00Z</dcterms:created>
  <dcterms:modified xsi:type="dcterms:W3CDTF">2014-02-20T14:16:00Z</dcterms:modified>
</cp:coreProperties>
</file>