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0FE" w:rsidRPr="007860E0" w:rsidRDefault="008F20FE" w:rsidP="007860E0">
      <w:pPr>
        <w:pStyle w:val="Nzev"/>
        <w:jc w:val="left"/>
        <w:rPr>
          <w:b w:val="0"/>
          <w:sz w:val="24"/>
        </w:rPr>
      </w:pPr>
    </w:p>
    <w:p w:rsidR="00753319" w:rsidRPr="007860E0" w:rsidRDefault="00972B5F" w:rsidP="007860E0">
      <w:pPr>
        <w:pStyle w:val="Nzev"/>
        <w:jc w:val="left"/>
        <w:rPr>
          <w:b w:val="0"/>
          <w:sz w:val="24"/>
        </w:rPr>
      </w:pPr>
      <w:r w:rsidRPr="007860E0">
        <w:rPr>
          <w:b w:val="0"/>
          <w:sz w:val="24"/>
        </w:rPr>
        <w:t>Analýza útoků na příslušníky Policie Č</w:t>
      </w:r>
      <w:r w:rsidR="00016DFA" w:rsidRPr="007860E0">
        <w:rPr>
          <w:b w:val="0"/>
          <w:sz w:val="24"/>
        </w:rPr>
        <w:t>eské republiky</w:t>
      </w:r>
      <w:r w:rsidR="007860E0" w:rsidRPr="007860E0">
        <w:rPr>
          <w:b w:val="0"/>
          <w:sz w:val="24"/>
        </w:rPr>
        <w:t xml:space="preserve"> </w:t>
      </w:r>
      <w:r w:rsidR="00BF4445" w:rsidRPr="007860E0">
        <w:rPr>
          <w:b w:val="0"/>
          <w:sz w:val="24"/>
        </w:rPr>
        <w:t xml:space="preserve"> za</w:t>
      </w:r>
      <w:r w:rsidRPr="007860E0">
        <w:rPr>
          <w:b w:val="0"/>
          <w:sz w:val="24"/>
        </w:rPr>
        <w:t xml:space="preserve"> </w:t>
      </w:r>
      <w:r w:rsidR="00E92857" w:rsidRPr="007860E0">
        <w:rPr>
          <w:b w:val="0"/>
          <w:sz w:val="24"/>
        </w:rPr>
        <w:t>rok</w:t>
      </w:r>
      <w:r w:rsidRPr="007860E0">
        <w:rPr>
          <w:b w:val="0"/>
          <w:sz w:val="24"/>
        </w:rPr>
        <w:t xml:space="preserve"> 200</w:t>
      </w:r>
      <w:r w:rsidR="00F93FAA" w:rsidRPr="007860E0">
        <w:rPr>
          <w:b w:val="0"/>
          <w:sz w:val="24"/>
        </w:rPr>
        <w:t>9</w:t>
      </w:r>
    </w:p>
    <w:p w:rsidR="007860E0" w:rsidRDefault="007860E0" w:rsidP="007860E0">
      <w:pPr>
        <w:pStyle w:val="Nzev"/>
        <w:jc w:val="left"/>
        <w:rPr>
          <w:sz w:val="24"/>
        </w:rPr>
      </w:pPr>
    </w:p>
    <w:p w:rsidR="007860E0" w:rsidRDefault="007860E0" w:rsidP="007860E0">
      <w:pPr>
        <w:pStyle w:val="Nzev"/>
        <w:jc w:val="left"/>
        <w:rPr>
          <w:sz w:val="28"/>
          <w:szCs w:val="28"/>
        </w:rPr>
      </w:pPr>
      <w:r w:rsidRPr="007860E0">
        <w:rPr>
          <w:sz w:val="28"/>
          <w:szCs w:val="28"/>
        </w:rPr>
        <w:t>Zaznamenán</w:t>
      </w:r>
      <w:r>
        <w:rPr>
          <w:sz w:val="28"/>
          <w:szCs w:val="28"/>
        </w:rPr>
        <w:t xml:space="preserve"> </w:t>
      </w:r>
      <w:r w:rsidRPr="007860E0">
        <w:rPr>
          <w:sz w:val="28"/>
          <w:szCs w:val="28"/>
        </w:rPr>
        <w:t xml:space="preserve"> nár</w:t>
      </w:r>
      <w:r w:rsidR="00A2504B">
        <w:rPr>
          <w:sz w:val="28"/>
          <w:szCs w:val="28"/>
        </w:rPr>
        <w:t>ů</w:t>
      </w:r>
      <w:r w:rsidRPr="007860E0">
        <w:rPr>
          <w:sz w:val="28"/>
          <w:szCs w:val="28"/>
        </w:rPr>
        <w:t xml:space="preserve">st </w:t>
      </w:r>
      <w:r>
        <w:rPr>
          <w:sz w:val="28"/>
          <w:szCs w:val="28"/>
        </w:rPr>
        <w:t xml:space="preserve"> </w:t>
      </w:r>
      <w:r w:rsidRPr="007860E0">
        <w:rPr>
          <w:sz w:val="28"/>
          <w:szCs w:val="28"/>
        </w:rPr>
        <w:t xml:space="preserve">počtu </w:t>
      </w:r>
    </w:p>
    <w:p w:rsidR="003E0170" w:rsidRDefault="003E0170" w:rsidP="003E0170">
      <w:pPr>
        <w:pStyle w:val="Zkladntext"/>
        <w:rPr>
          <w:rFonts w:ascii="Arial" w:hAnsi="Arial" w:cs="Arial"/>
          <w:b/>
          <w:bCs/>
          <w:sz w:val="28"/>
          <w:szCs w:val="28"/>
        </w:rPr>
      </w:pPr>
    </w:p>
    <w:p w:rsidR="007860E0" w:rsidRDefault="007860E0" w:rsidP="003E0170">
      <w:pPr>
        <w:pStyle w:val="Zkladntext"/>
        <w:rPr>
          <w:rFonts w:ascii="Arial" w:hAnsi="Arial" w:cs="Arial"/>
        </w:rPr>
      </w:pPr>
      <w:r>
        <w:rPr>
          <w:rFonts w:ascii="Arial" w:hAnsi="Arial" w:cs="Arial"/>
        </w:rPr>
        <w:t xml:space="preserve">V posledním  čtvrtletí loňského roku byl zaznamenán téměř stejný počet útoků na </w:t>
      </w:r>
      <w:r w:rsidRPr="002E48E6">
        <w:rPr>
          <w:rFonts w:ascii="Arial" w:hAnsi="Arial" w:cs="Arial"/>
        </w:rPr>
        <w:t xml:space="preserve">příslušníky </w:t>
      </w:r>
      <w:r>
        <w:rPr>
          <w:rFonts w:ascii="Arial" w:hAnsi="Arial" w:cs="Arial"/>
        </w:rPr>
        <w:t xml:space="preserve">jako v roce  2008. Statisticky významný byl prosinec (+31,7 proc.).  Roční srovnávací statistika ovšem zaznamenala nárůst počtu útoků na příslušníky o 6,5%.  </w:t>
      </w:r>
    </w:p>
    <w:p w:rsidR="00753319" w:rsidRPr="007860E0" w:rsidRDefault="00D56A76" w:rsidP="007860E0">
      <w:pPr>
        <w:pStyle w:val="Zkladntext"/>
        <w:jc w:val="left"/>
        <w:rPr>
          <w:rFonts w:ascii="Arial" w:hAnsi="Arial" w:cs="Arial"/>
        </w:rPr>
      </w:pPr>
      <w:r w:rsidRPr="007860E0"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-1042670</wp:posOffset>
            </wp:positionH>
            <wp:positionV relativeFrom="paragraph">
              <wp:posOffset>330835</wp:posOffset>
            </wp:positionV>
            <wp:extent cx="7667625" cy="3638550"/>
            <wp:effectExtent l="0" t="0" r="0" b="0"/>
            <wp:wrapSquare wrapText="bothSides"/>
            <wp:docPr id="10" name="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3E0170" w:rsidRDefault="003E0170" w:rsidP="003E0170">
      <w:pPr>
        <w:pStyle w:val="Zkladntext"/>
        <w:rPr>
          <w:rFonts w:ascii="Arial" w:hAnsi="Arial" w:cs="Arial"/>
        </w:rPr>
      </w:pPr>
      <w:r>
        <w:rPr>
          <w:rFonts w:ascii="Arial" w:hAnsi="Arial" w:cs="Arial"/>
        </w:rPr>
        <w:t xml:space="preserve">Z následujícího grafu je patrné, že rizikovým dnem pro policisty je  konec týdne. Třetina útoků se odehrává mezi dvaadvacátou hodinou a druhou hodinou ranní. Téměř 70 procent útoků spadá do časového úseku mezi osmnáctou  a šestou ráno. </w:t>
      </w:r>
      <w:r>
        <w:rPr>
          <w:noProof/>
        </w:rPr>
        <w:drawing>
          <wp:inline distT="0" distB="0" distL="0" distR="0">
            <wp:extent cx="5760720" cy="3026499"/>
            <wp:effectExtent l="0" t="0" r="0" b="0"/>
            <wp:docPr id="4" name="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</w:p>
    <w:p w:rsidR="003E0170" w:rsidRDefault="00DA1031" w:rsidP="00DA1031">
      <w:pPr>
        <w:pStyle w:val="Zkladntextodsazen"/>
        <w:ind w:firstLine="0"/>
      </w:pPr>
      <w:r>
        <w:lastRenderedPageBreak/>
        <w:t>P</w:t>
      </w:r>
      <w:r w:rsidR="003E0170">
        <w:t xml:space="preserve">achatelé útočí nejvíce proti </w:t>
      </w:r>
      <w:r w:rsidR="003E0170" w:rsidRPr="00157542">
        <w:t xml:space="preserve">proti příslušníkům </w:t>
      </w:r>
      <w:r w:rsidR="003E0170">
        <w:t>služby pořádkové policie (88,8</w:t>
      </w:r>
      <w:r w:rsidR="003E0170" w:rsidRPr="00157542">
        <w:t xml:space="preserve">%). </w:t>
      </w:r>
      <w:r w:rsidR="003E0170">
        <w:t>Naprostá většina</w:t>
      </w:r>
      <w:r w:rsidR="003E0170" w:rsidRPr="00157542">
        <w:t xml:space="preserve"> útok</w:t>
      </w:r>
      <w:r w:rsidR="003E0170">
        <w:t>ů</w:t>
      </w:r>
      <w:r w:rsidR="003E0170" w:rsidRPr="00157542">
        <w:t xml:space="preserve"> byl</w:t>
      </w:r>
      <w:r w:rsidR="003E0170">
        <w:t>a</w:t>
      </w:r>
      <w:r w:rsidR="003E0170" w:rsidRPr="00157542">
        <w:t xml:space="preserve"> </w:t>
      </w:r>
      <w:r w:rsidR="003E0170">
        <w:t xml:space="preserve">vedena  </w:t>
      </w:r>
      <w:r w:rsidR="003E0170" w:rsidRPr="00157542">
        <w:t>veden</w:t>
      </w:r>
      <w:r w:rsidR="003E0170">
        <w:t>a</w:t>
      </w:r>
      <w:r w:rsidR="003E0170" w:rsidRPr="00157542">
        <w:t xml:space="preserve"> </w:t>
      </w:r>
      <w:r w:rsidR="003E0170">
        <w:t>při výkonu služby</w:t>
      </w:r>
      <w:r w:rsidR="003E0170" w:rsidRPr="00157542">
        <w:t xml:space="preserve"> (</w:t>
      </w:r>
      <w:r w:rsidR="003E0170">
        <w:t>97,3</w:t>
      </w:r>
      <w:r w:rsidR="003E0170" w:rsidRPr="00157542">
        <w:t xml:space="preserve">%). </w:t>
      </w:r>
      <w:r w:rsidR="003E0170">
        <w:t xml:space="preserve">Více jak polovina útoků (53,5 %) byla spáchána v Severočeském kraji, Praze a Severomoravském kraji. </w:t>
      </w:r>
    </w:p>
    <w:p w:rsidR="00E2665D" w:rsidRPr="00157542" w:rsidRDefault="00DA1031" w:rsidP="00E2665D">
      <w:pPr>
        <w:pStyle w:val="Zkladntextodsazen"/>
      </w:pPr>
      <w:r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-1128395</wp:posOffset>
            </wp:positionH>
            <wp:positionV relativeFrom="paragraph">
              <wp:posOffset>2866390</wp:posOffset>
            </wp:positionV>
            <wp:extent cx="8782050" cy="6229350"/>
            <wp:effectExtent l="0" t="0" r="0" b="0"/>
            <wp:wrapSquare wrapText="bothSides"/>
            <wp:docPr id="6" name="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D56A76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175260</wp:posOffset>
            </wp:positionV>
            <wp:extent cx="5819140" cy="2628900"/>
            <wp:effectExtent l="3810" t="3810" r="0" b="0"/>
            <wp:wrapSquare wrapText="bothSides"/>
            <wp:docPr id="22" name="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CC5CA2" w:rsidRDefault="00CC5CA2" w:rsidP="003E0170">
      <w:pPr>
        <w:pStyle w:val="Zkladntextodsazen"/>
        <w:ind w:firstLine="0"/>
      </w:pPr>
    </w:p>
    <w:p w:rsidR="00D56A76" w:rsidRDefault="003E0170" w:rsidP="003E0170">
      <w:pPr>
        <w:pStyle w:val="Zkladntextodsazen"/>
        <w:ind w:firstLine="0"/>
      </w:pPr>
      <w:r>
        <w:t xml:space="preserve">K újmě na zdraví došlo ve 237 případech. Jednalo se převážně o zranění lehká. K těžkému zranění došlo ve čtyřech případech. Jeden policista při výkonu služby utrpěl smrtelné zranění. </w:t>
      </w:r>
    </w:p>
    <w:p w:rsidR="00D56A76" w:rsidRDefault="00D56A76" w:rsidP="008E382A">
      <w:pPr>
        <w:pStyle w:val="Zkladntextodsazen"/>
      </w:pPr>
    </w:p>
    <w:p w:rsidR="00D21A28" w:rsidRDefault="00D21A28" w:rsidP="00D21A28">
      <w:pPr>
        <w:pStyle w:val="Zkladntextodsazen"/>
      </w:pPr>
    </w:p>
    <w:p w:rsidR="00AF326F" w:rsidRPr="00AF326F" w:rsidRDefault="00DA1031" w:rsidP="00AF326F">
      <w:pPr>
        <w:pStyle w:val="Zkladntextodsazen"/>
        <w:jc w:val="center"/>
        <w:rPr>
          <w:b/>
        </w:rPr>
      </w:pPr>
      <w:r>
        <w:rPr>
          <w:b/>
        </w:rPr>
        <w:t>N</w:t>
      </w:r>
      <w:r w:rsidR="00AF326F" w:rsidRPr="00AF326F">
        <w:rPr>
          <w:b/>
        </w:rPr>
        <w:t>ásledky na zdraví</w:t>
      </w:r>
    </w:p>
    <w:p w:rsidR="00FC3986" w:rsidRDefault="00D56A76" w:rsidP="00DD792D">
      <w:pPr>
        <w:pStyle w:val="Zkladntextodsazen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-247015</wp:posOffset>
            </wp:positionH>
            <wp:positionV relativeFrom="paragraph">
              <wp:posOffset>95250</wp:posOffset>
            </wp:positionV>
            <wp:extent cx="6297295" cy="1821815"/>
            <wp:effectExtent l="635" t="0" r="0" b="1270"/>
            <wp:wrapSquare wrapText="bothSides"/>
            <wp:docPr id="25" name="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3E0170" w:rsidRDefault="003E0170" w:rsidP="003E0170">
      <w:pPr>
        <w:pStyle w:val="Zkladntextodsazen"/>
        <w:ind w:firstLine="0"/>
      </w:pPr>
      <w:r>
        <w:t>N</w:t>
      </w:r>
      <w:r w:rsidRPr="00157542">
        <w:t xml:space="preserve">ezanedbatelnou roli hraje vliv alkoholu u útočníků. Celkem </w:t>
      </w:r>
      <w:r>
        <w:t>243</w:t>
      </w:r>
      <w:r w:rsidR="00DA1031">
        <w:tab/>
        <w:t xml:space="preserve"> (</w:t>
      </w:r>
      <w:r>
        <w:t>43,9</w:t>
      </w:r>
      <w:r w:rsidR="00DA1031">
        <w:t xml:space="preserve">%) </w:t>
      </w:r>
      <w:r w:rsidRPr="00157542">
        <w:t>útoků bylo spácháno pod vlivem alkoholu.</w:t>
      </w:r>
    </w:p>
    <w:p w:rsidR="00E206C0" w:rsidRDefault="00E206C0" w:rsidP="003E0170">
      <w:pPr>
        <w:pStyle w:val="Zkladntextodsazen"/>
        <w:ind w:firstLine="0"/>
      </w:pPr>
    </w:p>
    <w:p w:rsidR="00E206C0" w:rsidRDefault="00E206C0" w:rsidP="003E0170">
      <w:pPr>
        <w:pStyle w:val="Zkladntextodsazen"/>
        <w:ind w:firstLine="0"/>
      </w:pPr>
    </w:p>
    <w:p w:rsidR="00E206C0" w:rsidRDefault="00E206C0" w:rsidP="003E0170">
      <w:pPr>
        <w:pStyle w:val="Zkladntextodsazen"/>
        <w:ind w:firstLine="0"/>
      </w:pPr>
    </w:p>
    <w:tbl>
      <w:tblPr>
        <w:tblW w:w="7841" w:type="dxa"/>
        <w:jc w:val="center"/>
        <w:tblInd w:w="-1329" w:type="dxa"/>
        <w:tblBorders>
          <w:top w:val="double" w:sz="2" w:space="0" w:color="326886"/>
          <w:left w:val="double" w:sz="2" w:space="0" w:color="326886"/>
          <w:bottom w:val="double" w:sz="2" w:space="0" w:color="326886"/>
          <w:right w:val="double" w:sz="2" w:space="0" w:color="326886"/>
          <w:insideH w:val="double" w:sz="2" w:space="0" w:color="326886"/>
          <w:insideV w:val="double" w:sz="2" w:space="0" w:color="326886"/>
        </w:tblBorders>
        <w:tblCellMar>
          <w:left w:w="0" w:type="dxa"/>
          <w:right w:w="0" w:type="dxa"/>
        </w:tblCellMar>
        <w:tblLook w:val="0000"/>
      </w:tblPr>
      <w:tblGrid>
        <w:gridCol w:w="4205"/>
        <w:gridCol w:w="1843"/>
        <w:gridCol w:w="1793"/>
      </w:tblGrid>
      <w:tr w:rsidR="00E206C0" w:rsidRPr="00157542" w:rsidTr="00C47DA9">
        <w:trPr>
          <w:trHeight w:val="562"/>
          <w:jc w:val="center"/>
        </w:trPr>
        <w:tc>
          <w:tcPr>
            <w:tcW w:w="4205" w:type="dxa"/>
            <w:shd w:val="clear" w:color="auto" w:fill="3F94D3"/>
            <w:noWrap/>
            <w:vAlign w:val="center"/>
          </w:tcPr>
          <w:p w:rsidR="00E206C0" w:rsidRPr="007F109E" w:rsidRDefault="00E206C0" w:rsidP="00C47DA9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útvar (KŘP)</w:t>
            </w:r>
          </w:p>
        </w:tc>
        <w:tc>
          <w:tcPr>
            <w:tcW w:w="1843" w:type="dxa"/>
            <w:shd w:val="clear" w:color="auto" w:fill="3F94D3"/>
            <w:noWrap/>
            <w:vAlign w:val="center"/>
          </w:tcPr>
          <w:p w:rsidR="00E206C0" w:rsidRPr="007F109E" w:rsidRDefault="00E206C0" w:rsidP="00C47DA9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sz w:val="20"/>
                <w:szCs w:val="20"/>
              </w:rPr>
              <w:t>se zraněním</w:t>
            </w:r>
          </w:p>
        </w:tc>
        <w:tc>
          <w:tcPr>
            <w:tcW w:w="1793" w:type="dxa"/>
            <w:shd w:val="clear" w:color="auto" w:fill="3F94D3"/>
            <w:noWrap/>
            <w:vAlign w:val="center"/>
          </w:tcPr>
          <w:p w:rsidR="00E206C0" w:rsidRPr="007F109E" w:rsidRDefault="00E206C0" w:rsidP="00C47DA9">
            <w:pPr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sz w:val="20"/>
                <w:szCs w:val="20"/>
              </w:rPr>
              <w:t>bez zranění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PP ČR + útvary s celostátní působností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pStyle w:val="Nadpis1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hlavního města Prahy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43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49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Středočesk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Jihočesk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Západočesk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26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Severočesk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42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Východočesk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Jihomoravsk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</w:p>
        </w:tc>
      </w:tr>
      <w:tr w:rsidR="00E206C0" w:rsidRPr="00157542" w:rsidTr="00C47DA9">
        <w:trPr>
          <w:trHeight w:val="255"/>
          <w:jc w:val="center"/>
        </w:trPr>
        <w:tc>
          <w:tcPr>
            <w:tcW w:w="4205" w:type="dxa"/>
            <w:shd w:val="clear" w:color="auto" w:fill="A8C8EB"/>
            <w:vAlign w:val="center"/>
          </w:tcPr>
          <w:p w:rsidR="00E206C0" w:rsidRPr="007F109E" w:rsidRDefault="00E206C0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 w:rsidRPr="007F109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Severomoravsk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ého kraje</w:t>
            </w:r>
          </w:p>
        </w:tc>
        <w:tc>
          <w:tcPr>
            <w:tcW w:w="184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1793" w:type="dxa"/>
            <w:noWrap/>
            <w:vAlign w:val="bottom"/>
          </w:tcPr>
          <w:p w:rsidR="00E206C0" w:rsidRPr="00FD7133" w:rsidRDefault="00E206C0" w:rsidP="00C47DA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</w:t>
            </w:r>
          </w:p>
        </w:tc>
      </w:tr>
    </w:tbl>
    <w:p w:rsidR="00E206C0" w:rsidRDefault="00E206C0" w:rsidP="003E0170">
      <w:pPr>
        <w:pStyle w:val="Zkladntextodsazen"/>
        <w:ind w:firstLine="0"/>
      </w:pPr>
    </w:p>
    <w:p w:rsidR="00A2504B" w:rsidRDefault="00A2504B" w:rsidP="00DA1031">
      <w:pPr>
        <w:pStyle w:val="Zkladntextodsazen"/>
      </w:pPr>
    </w:p>
    <w:p w:rsidR="00A2504B" w:rsidRDefault="00A2504B" w:rsidP="00DA1031">
      <w:pPr>
        <w:pStyle w:val="Zkladntextodsazen"/>
      </w:pPr>
    </w:p>
    <w:p w:rsidR="00DA1031" w:rsidRDefault="00DA1031" w:rsidP="00A2504B">
      <w:pPr>
        <w:pStyle w:val="Zkladntextodsazen"/>
        <w:ind w:firstLine="0"/>
      </w:pPr>
      <w:r>
        <w:t>Ke čtvrtině útoků na policisty dochází při kontrolní činnosti, např. silničních kontrolách nebo kontrolách dokladů. Policisté jsou často  napadání při řešení případů</w:t>
      </w:r>
      <w:r w:rsidRPr="003E0170">
        <w:t xml:space="preserve"> </w:t>
      </w:r>
      <w:r>
        <w:t>výtržností na veřejnosti,</w:t>
      </w:r>
      <w:r w:rsidRPr="00157542">
        <w:t xml:space="preserve"> domácího násilí</w:t>
      </w:r>
      <w:r>
        <w:t xml:space="preserve">, </w:t>
      </w:r>
      <w:r w:rsidRPr="00157542">
        <w:t xml:space="preserve">sousedských neshod a </w:t>
      </w:r>
      <w:r>
        <w:t xml:space="preserve"> při zákrocích proti osobám pod vlivem alkoholu v restauračních zařízeních. </w:t>
      </w:r>
    </w:p>
    <w:p w:rsidR="0087731C" w:rsidRDefault="0087731C" w:rsidP="0087731C">
      <w:pPr>
        <w:pStyle w:val="Zkladntextodsazen"/>
        <w:ind w:firstLine="0"/>
      </w:pPr>
    </w:p>
    <w:p w:rsidR="0087731C" w:rsidRDefault="0087731C" w:rsidP="0087731C">
      <w:pPr>
        <w:pStyle w:val="Zkladntextodsazen"/>
        <w:ind w:firstLine="0"/>
      </w:pPr>
    </w:p>
    <w:p w:rsidR="0087731C" w:rsidRDefault="0087731C" w:rsidP="0087731C">
      <w:pPr>
        <w:pStyle w:val="Zkladntextodsazen"/>
        <w:ind w:firstLine="0"/>
      </w:pPr>
      <w:r>
        <w:t>Téměř tři čtvrtiny útoků jsou vedeny na tělesnou integritu příslušníka. V</w:t>
      </w:r>
      <w:r w:rsidRPr="00157542">
        <w:t xml:space="preserve">ýznamným faktorem </w:t>
      </w:r>
      <w:r w:rsidRPr="00157542">
        <w:rPr>
          <w:bCs/>
        </w:rPr>
        <w:t>použití vozidla</w:t>
      </w:r>
      <w:r w:rsidRPr="00157542">
        <w:t xml:space="preserve"> prot</w:t>
      </w:r>
      <w:r>
        <w:t>i zakročujícímu příslušníkovi (16,8</w:t>
      </w:r>
      <w:r w:rsidRPr="00157542">
        <w:t>%</w:t>
      </w:r>
      <w:r>
        <w:t>).</w:t>
      </w:r>
      <w:r w:rsidRPr="00157542">
        <w:t xml:space="preserve"> </w:t>
      </w:r>
    </w:p>
    <w:p w:rsidR="00A2504B" w:rsidRDefault="00A2504B" w:rsidP="00A2504B">
      <w:pPr>
        <w:pStyle w:val="Zkladntextodsazen"/>
        <w:ind w:firstLine="0"/>
      </w:pPr>
    </w:p>
    <w:p w:rsidR="00A2504B" w:rsidRDefault="00A2504B" w:rsidP="00A2504B">
      <w:pPr>
        <w:pStyle w:val="Zkladntextodsazen"/>
        <w:ind w:firstLine="0"/>
      </w:pPr>
      <w:r w:rsidRPr="00A2504B"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-461645</wp:posOffset>
            </wp:positionV>
            <wp:extent cx="6505575" cy="5219700"/>
            <wp:effectExtent l="0" t="0" r="0" b="0"/>
            <wp:wrapSquare wrapText="bothSides"/>
            <wp:docPr id="11" name="objekt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tbl>
      <w:tblPr>
        <w:tblW w:w="9641" w:type="dxa"/>
        <w:tblInd w:w="-276" w:type="dxa"/>
        <w:tblBorders>
          <w:top w:val="double" w:sz="2" w:space="0" w:color="326886"/>
          <w:left w:val="double" w:sz="2" w:space="0" w:color="326886"/>
          <w:bottom w:val="double" w:sz="2" w:space="0" w:color="326886"/>
          <w:right w:val="double" w:sz="2" w:space="0" w:color="326886"/>
          <w:insideH w:val="double" w:sz="2" w:space="0" w:color="326886"/>
          <w:insideV w:val="double" w:sz="2" w:space="0" w:color="326886"/>
        </w:tblBorders>
        <w:tblCellMar>
          <w:left w:w="0" w:type="dxa"/>
          <w:right w:w="0" w:type="dxa"/>
        </w:tblCellMar>
        <w:tblLook w:val="0000"/>
      </w:tblPr>
      <w:tblGrid>
        <w:gridCol w:w="2803"/>
        <w:gridCol w:w="616"/>
        <w:gridCol w:w="617"/>
        <w:gridCol w:w="617"/>
        <w:gridCol w:w="633"/>
        <w:gridCol w:w="617"/>
        <w:gridCol w:w="617"/>
        <w:gridCol w:w="617"/>
        <w:gridCol w:w="617"/>
        <w:gridCol w:w="617"/>
        <w:gridCol w:w="550"/>
        <w:gridCol w:w="720"/>
      </w:tblGrid>
      <w:tr w:rsidR="00A2504B" w:rsidRPr="00157542" w:rsidTr="00C47DA9">
        <w:trPr>
          <w:cantSplit/>
          <w:trHeight w:val="1231"/>
        </w:trPr>
        <w:tc>
          <w:tcPr>
            <w:tcW w:w="2803" w:type="dxa"/>
            <w:shd w:val="clear" w:color="auto" w:fill="3F94D3"/>
            <w:noWrap/>
            <w:vAlign w:val="center"/>
          </w:tcPr>
          <w:p w:rsidR="00A2504B" w:rsidRPr="00157542" w:rsidRDefault="00A2504B" w:rsidP="00C47DA9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bookmarkStart w:id="0" w:name="_Hlk228011095"/>
            <w:bookmarkStart w:id="1" w:name="OLE_LINK6"/>
            <w:r w:rsidRPr="00157542">
              <w:rPr>
                <w:rFonts w:ascii="Arial" w:eastAsia="Arial Unicode MS" w:hAnsi="Arial" w:cs="Arial"/>
                <w:b/>
                <w:sz w:val="20"/>
                <w:szCs w:val="20"/>
              </w:rPr>
              <w:t>útvar (</w:t>
            </w: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KŘP</w:t>
            </w:r>
            <w:r w:rsidRPr="00157542">
              <w:rPr>
                <w:rFonts w:ascii="Arial" w:eastAsia="Arial Unicode MS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16" w:type="dxa"/>
            <w:shd w:val="clear" w:color="auto" w:fill="3F94D3"/>
            <w:textDirection w:val="btLr"/>
            <w:vAlign w:val="center"/>
          </w:tcPr>
          <w:p w:rsidR="00A2504B" w:rsidRDefault="00A2504B" w:rsidP="00C47DA9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kontrolní</w:t>
            </w:r>
          </w:p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činnosti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výtržnosti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občanské soužití</w:t>
            </w:r>
          </w:p>
        </w:tc>
        <w:tc>
          <w:tcPr>
            <w:tcW w:w="633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kulturní zařízení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 služebně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ve sl. vozidle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při majetková TČ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při pátrání</w:t>
            </w:r>
          </w:p>
        </w:tc>
        <w:tc>
          <w:tcPr>
            <w:tcW w:w="617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sportovní utkání</w:t>
            </w:r>
          </w:p>
        </w:tc>
        <w:tc>
          <w:tcPr>
            <w:tcW w:w="550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lékařské ošetření</w:t>
            </w:r>
          </w:p>
        </w:tc>
        <w:tc>
          <w:tcPr>
            <w:tcW w:w="720" w:type="dxa"/>
            <w:shd w:val="clear" w:color="auto" w:fill="3F94D3"/>
            <w:textDirection w:val="btLr"/>
            <w:vAlign w:val="center"/>
          </w:tcPr>
          <w:p w:rsidR="00A2504B" w:rsidRPr="00157542" w:rsidRDefault="00A2504B" w:rsidP="00C47DA9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6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ostatní okolnosti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PP ČR + útv. s celost. půs.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pStyle w:val="Nadpis2"/>
              <w:rPr>
                <w:rFonts w:eastAsia="Arial Unicode MS" w:cs="Arial"/>
              </w:rPr>
            </w:pPr>
            <w:r>
              <w:rPr>
                <w:rFonts w:cs="Arial"/>
              </w:rPr>
              <w:t>hlavního města</w:t>
            </w:r>
            <w:r w:rsidRPr="00157542">
              <w:rPr>
                <w:rFonts w:cs="Arial"/>
              </w:rPr>
              <w:t xml:space="preserve"> Prahy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Středočeského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Jihočeského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Západočeského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Severočeského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Východočeského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Jihomoravského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2504B" w:rsidRPr="00157542" w:rsidTr="00C47DA9">
        <w:trPr>
          <w:trHeight w:val="255"/>
        </w:trPr>
        <w:tc>
          <w:tcPr>
            <w:tcW w:w="2803" w:type="dxa"/>
            <w:shd w:val="clear" w:color="auto" w:fill="A8C8EB"/>
            <w:vAlign w:val="center"/>
          </w:tcPr>
          <w:p w:rsidR="00A2504B" w:rsidRPr="00157542" w:rsidRDefault="00A2504B" w:rsidP="00C47DA9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Severomoravského kraje</w:t>
            </w:r>
          </w:p>
        </w:tc>
        <w:tc>
          <w:tcPr>
            <w:tcW w:w="616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633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617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50" w:type="dxa"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noWrap/>
            <w:vAlign w:val="bottom"/>
          </w:tcPr>
          <w:p w:rsidR="00A2504B" w:rsidRDefault="00A2504B" w:rsidP="00C47DA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</w:tbl>
    <w:bookmarkEnd w:id="0"/>
    <w:bookmarkEnd w:id="1"/>
    <w:p w:rsidR="00E2665D" w:rsidRPr="00157542" w:rsidRDefault="00D56A76" w:rsidP="00E2665D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>
            <wp:extent cx="6115050" cy="5276850"/>
            <wp:effectExtent l="0" t="0" r="0" b="0"/>
            <wp:docPr id="2" name="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EC26A2" w:rsidRDefault="00EC26A2" w:rsidP="00EC26A2">
      <w:pPr>
        <w:pStyle w:val="Zkladntextodsazen"/>
      </w:pPr>
    </w:p>
    <w:p w:rsidR="00E2665D" w:rsidRPr="00157542" w:rsidRDefault="00E2665D" w:rsidP="00E2665D">
      <w:pPr>
        <w:jc w:val="center"/>
        <w:rPr>
          <w:rFonts w:ascii="Arial" w:hAnsi="Arial" w:cs="Arial"/>
        </w:rPr>
      </w:pPr>
    </w:p>
    <w:tbl>
      <w:tblPr>
        <w:tblW w:w="9000" w:type="dxa"/>
        <w:jc w:val="center"/>
        <w:tblBorders>
          <w:top w:val="double" w:sz="2" w:space="0" w:color="326886"/>
          <w:left w:val="double" w:sz="2" w:space="0" w:color="326886"/>
          <w:bottom w:val="double" w:sz="2" w:space="0" w:color="326886"/>
          <w:right w:val="double" w:sz="2" w:space="0" w:color="326886"/>
          <w:insideH w:val="single" w:sz="6" w:space="0" w:color="326886"/>
          <w:insideV w:val="single" w:sz="6" w:space="0" w:color="326886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700"/>
        <w:gridCol w:w="900"/>
        <w:gridCol w:w="900"/>
        <w:gridCol w:w="900"/>
        <w:gridCol w:w="900"/>
        <w:gridCol w:w="900"/>
        <w:gridCol w:w="900"/>
        <w:gridCol w:w="900"/>
      </w:tblGrid>
      <w:tr w:rsidR="00E2665D" w:rsidRPr="00157542" w:rsidTr="001B43DE">
        <w:trPr>
          <w:cantSplit/>
          <w:trHeight w:hRule="exact" w:val="1744"/>
          <w:jc w:val="center"/>
        </w:trPr>
        <w:tc>
          <w:tcPr>
            <w:tcW w:w="27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noWrap/>
            <w:vAlign w:val="center"/>
          </w:tcPr>
          <w:p w:rsidR="00E2665D" w:rsidRPr="00157542" w:rsidRDefault="00E2665D" w:rsidP="001B43DE">
            <w:pPr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157542">
              <w:rPr>
                <w:rFonts w:ascii="Arial" w:eastAsia="Arial Unicode MS" w:hAnsi="Arial" w:cs="Arial"/>
                <w:b/>
                <w:sz w:val="20"/>
                <w:szCs w:val="20"/>
              </w:rPr>
              <w:t>útvar (</w:t>
            </w: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KŘP</w:t>
            </w:r>
            <w:r w:rsidRPr="00157542">
              <w:rPr>
                <w:rFonts w:ascii="Arial" w:eastAsia="Arial Unicode MS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fyzické napadení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střelná zbraň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vozidlem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nožem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ostatní zbraně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vulgarismy</w:t>
            </w:r>
          </w:p>
        </w:tc>
        <w:tc>
          <w:tcPr>
            <w:tcW w:w="900" w:type="dxa"/>
            <w:tcBorders>
              <w:top w:val="double" w:sz="2" w:space="0" w:color="326886"/>
              <w:bottom w:val="single" w:sz="6" w:space="0" w:color="326886"/>
            </w:tcBorders>
            <w:shd w:val="clear" w:color="auto" w:fill="3F94D3"/>
            <w:textDirection w:val="btLr"/>
            <w:vAlign w:val="center"/>
          </w:tcPr>
          <w:p w:rsidR="00E2665D" w:rsidRPr="00157542" w:rsidRDefault="00E2665D" w:rsidP="001B43DE">
            <w:pPr>
              <w:ind w:left="113" w:right="113"/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18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vyhrožování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tcBorders>
              <w:top w:val="single" w:sz="6" w:space="0" w:color="326886"/>
            </w:tcBorders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PP ČR + útv. s celost. půs.</w:t>
            </w:r>
          </w:p>
        </w:tc>
        <w:tc>
          <w:tcPr>
            <w:tcW w:w="900" w:type="dxa"/>
            <w:tcBorders>
              <w:top w:val="single" w:sz="6" w:space="0" w:color="326886"/>
            </w:tcBorders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6" w:space="0" w:color="326886"/>
            </w:tcBorders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pStyle w:val="Nadpis1"/>
              <w:rPr>
                <w:rFonts w:eastAsia="Arial Unicode MS" w:cs="Arial"/>
                <w:sz w:val="20"/>
              </w:rPr>
            </w:pPr>
            <w:r>
              <w:rPr>
                <w:rFonts w:cs="Arial"/>
                <w:sz w:val="20"/>
              </w:rPr>
              <w:t>hlavního města</w:t>
            </w:r>
            <w:r w:rsidRPr="00157542">
              <w:rPr>
                <w:rFonts w:cs="Arial"/>
                <w:sz w:val="20"/>
              </w:rPr>
              <w:t xml:space="preserve"> Prahy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56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Středočeského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Jihočeského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Západočeského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Severočeského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83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Východočeského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39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Jihomoravského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44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FFFFFF"/>
            <w:vAlign w:val="center"/>
          </w:tcPr>
          <w:p w:rsidR="007E7A2E" w:rsidRPr="00157542" w:rsidRDefault="005E57F0" w:rsidP="001B43DE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7E7A2E" w:rsidRPr="00157542" w:rsidTr="001B43DE">
        <w:trPr>
          <w:trHeight w:hRule="exact" w:val="284"/>
          <w:jc w:val="center"/>
        </w:trPr>
        <w:tc>
          <w:tcPr>
            <w:tcW w:w="2700" w:type="dxa"/>
            <w:shd w:val="clear" w:color="auto" w:fill="A8C8EB"/>
            <w:vAlign w:val="center"/>
          </w:tcPr>
          <w:p w:rsidR="007E7A2E" w:rsidRPr="00157542" w:rsidRDefault="007E7A2E" w:rsidP="001B43DE">
            <w:pP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16"/>
              </w:rPr>
            </w:pPr>
            <w:r w:rsidRPr="00157542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Severomoravského kraje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7E7A2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0" w:type="dxa"/>
            <w:noWrap/>
            <w:vAlign w:val="center"/>
          </w:tcPr>
          <w:p w:rsidR="007E7A2E" w:rsidRPr="00157542" w:rsidRDefault="007E7A2E" w:rsidP="001B43DE">
            <w:pPr>
              <w:jc w:val="center"/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5</w:t>
            </w:r>
          </w:p>
        </w:tc>
      </w:tr>
    </w:tbl>
    <w:p w:rsidR="00D57AA6" w:rsidRDefault="00D57AA6" w:rsidP="00D57AA6">
      <w:pPr>
        <w:pStyle w:val="Zkladntextodsazen"/>
        <w:ind w:firstLine="0"/>
      </w:pPr>
    </w:p>
    <w:p w:rsidR="00D57AA6" w:rsidRDefault="00D57AA6" w:rsidP="00D57AA6">
      <w:pPr>
        <w:pStyle w:val="Zkladntextodsazen"/>
        <w:ind w:firstLine="0"/>
      </w:pPr>
    </w:p>
    <w:p w:rsidR="00D57AA6" w:rsidRDefault="00D57AA6" w:rsidP="00D57AA6">
      <w:pPr>
        <w:pStyle w:val="Zkladntextodsazen"/>
        <w:ind w:firstLine="0"/>
      </w:pPr>
      <w:r>
        <w:lastRenderedPageBreak/>
        <w:t xml:space="preserve">Ve třech případech pachatelé použili proti zakročujícím policistům střelnou zbraň.  V ostatních případech násilníci útočí tím, co mají nejblíže po ruce, případně kombinují různé způsoby napadení. </w:t>
      </w:r>
    </w:p>
    <w:p w:rsidR="00D57AA6" w:rsidRDefault="00D57AA6" w:rsidP="00D57AA6">
      <w:pPr>
        <w:pStyle w:val="Zkladntextodsazen"/>
        <w:ind w:firstLine="0"/>
      </w:pPr>
    </w:p>
    <w:p w:rsidR="00D57AA6" w:rsidRDefault="00D57AA6" w:rsidP="00D57AA6">
      <w:pPr>
        <w:pStyle w:val="Zkladntextodsazen"/>
        <w:ind w:firstLine="0"/>
      </w:pPr>
    </w:p>
    <w:p w:rsidR="00D57AA6" w:rsidRDefault="00A2504B" w:rsidP="00D57AA6">
      <w:pPr>
        <w:pStyle w:val="Zkladntextodsazen"/>
        <w:ind w:firstLine="0"/>
      </w:pPr>
      <w:r>
        <w:t>k</w:t>
      </w:r>
      <w:r w:rsidR="00D57AA6">
        <w:t xml:space="preserve">pt. PhDr. Dagmar Bednarčíková </w:t>
      </w:r>
    </w:p>
    <w:p w:rsidR="00D57AA6" w:rsidRDefault="00D57AA6" w:rsidP="00D57AA6">
      <w:pPr>
        <w:pStyle w:val="Zkladntextodsazen"/>
        <w:ind w:firstLine="0"/>
      </w:pPr>
    </w:p>
    <w:p w:rsidR="00D57AA6" w:rsidRDefault="00D57AA6" w:rsidP="00D57AA6">
      <w:pPr>
        <w:pStyle w:val="Zkladntextodsazen"/>
        <w:ind w:firstLine="0"/>
      </w:pPr>
      <w:r>
        <w:t xml:space="preserve">Zdroj: OVK PP </w:t>
      </w:r>
    </w:p>
    <w:p w:rsidR="00EE75F0" w:rsidRDefault="00EE75F0" w:rsidP="009F410F">
      <w:pPr>
        <w:pStyle w:val="Zkladntext"/>
        <w:jc w:val="center"/>
        <w:rPr>
          <w:rFonts w:ascii="Arial" w:hAnsi="Arial" w:cs="Arial"/>
        </w:rPr>
      </w:pPr>
    </w:p>
    <w:sectPr w:rsidR="00EE75F0" w:rsidSect="00185CCE">
      <w:pgSz w:w="11906" w:h="16838"/>
      <w:pgMar w:top="1417" w:right="1417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5E3" w:rsidRDefault="008F75E3" w:rsidP="005863DD">
      <w:r>
        <w:separator/>
      </w:r>
    </w:p>
  </w:endnote>
  <w:endnote w:type="continuationSeparator" w:id="0">
    <w:p w:rsidR="008F75E3" w:rsidRDefault="008F75E3" w:rsidP="00586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5E3" w:rsidRDefault="008F75E3" w:rsidP="005863DD">
      <w:r>
        <w:separator/>
      </w:r>
    </w:p>
  </w:footnote>
  <w:footnote w:type="continuationSeparator" w:id="0">
    <w:p w:rsidR="008F75E3" w:rsidRDefault="008F75E3" w:rsidP="005863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F1FAA"/>
    <w:multiLevelType w:val="hybridMultilevel"/>
    <w:tmpl w:val="F412F99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773A53"/>
    <w:rsid w:val="00000EA5"/>
    <w:rsid w:val="00016DF7"/>
    <w:rsid w:val="00016DFA"/>
    <w:rsid w:val="00030D8D"/>
    <w:rsid w:val="00061979"/>
    <w:rsid w:val="00095549"/>
    <w:rsid w:val="000A37A0"/>
    <w:rsid w:val="000E5773"/>
    <w:rsid w:val="00123CF8"/>
    <w:rsid w:val="001275B1"/>
    <w:rsid w:val="001320B5"/>
    <w:rsid w:val="00137F16"/>
    <w:rsid w:val="00157542"/>
    <w:rsid w:val="001635A7"/>
    <w:rsid w:val="00185CCE"/>
    <w:rsid w:val="001A19C2"/>
    <w:rsid w:val="001A3B5C"/>
    <w:rsid w:val="001B43DE"/>
    <w:rsid w:val="001C72B3"/>
    <w:rsid w:val="001D3BFC"/>
    <w:rsid w:val="001E782D"/>
    <w:rsid w:val="00220ABA"/>
    <w:rsid w:val="00220CEA"/>
    <w:rsid w:val="00235847"/>
    <w:rsid w:val="00240DD8"/>
    <w:rsid w:val="00275282"/>
    <w:rsid w:val="002D7B30"/>
    <w:rsid w:val="002E48E6"/>
    <w:rsid w:val="002E4E6F"/>
    <w:rsid w:val="002F26FE"/>
    <w:rsid w:val="002F404C"/>
    <w:rsid w:val="002F71D3"/>
    <w:rsid w:val="00365408"/>
    <w:rsid w:val="00367AF4"/>
    <w:rsid w:val="00367B5E"/>
    <w:rsid w:val="003A0730"/>
    <w:rsid w:val="003A24D6"/>
    <w:rsid w:val="003A767B"/>
    <w:rsid w:val="003C4693"/>
    <w:rsid w:val="003D53D1"/>
    <w:rsid w:val="003E0170"/>
    <w:rsid w:val="003E4195"/>
    <w:rsid w:val="003F7429"/>
    <w:rsid w:val="00414191"/>
    <w:rsid w:val="00427381"/>
    <w:rsid w:val="00482287"/>
    <w:rsid w:val="004913AB"/>
    <w:rsid w:val="00492AFF"/>
    <w:rsid w:val="004A60DD"/>
    <w:rsid w:val="004B2968"/>
    <w:rsid w:val="004D5701"/>
    <w:rsid w:val="004F5BB4"/>
    <w:rsid w:val="0052585A"/>
    <w:rsid w:val="0053722C"/>
    <w:rsid w:val="00552011"/>
    <w:rsid w:val="005722E7"/>
    <w:rsid w:val="005850AF"/>
    <w:rsid w:val="005863DD"/>
    <w:rsid w:val="0059149A"/>
    <w:rsid w:val="005964A8"/>
    <w:rsid w:val="005B2D0D"/>
    <w:rsid w:val="005B6FC1"/>
    <w:rsid w:val="005D7FD5"/>
    <w:rsid w:val="005E57F0"/>
    <w:rsid w:val="00600247"/>
    <w:rsid w:val="00615342"/>
    <w:rsid w:val="0061704B"/>
    <w:rsid w:val="00644FDD"/>
    <w:rsid w:val="006549A9"/>
    <w:rsid w:val="006552C3"/>
    <w:rsid w:val="006567BE"/>
    <w:rsid w:val="00667466"/>
    <w:rsid w:val="00687971"/>
    <w:rsid w:val="006B0DF5"/>
    <w:rsid w:val="006C1336"/>
    <w:rsid w:val="006C2EC3"/>
    <w:rsid w:val="006C6055"/>
    <w:rsid w:val="00701C6B"/>
    <w:rsid w:val="007117B7"/>
    <w:rsid w:val="007172FD"/>
    <w:rsid w:val="0072262F"/>
    <w:rsid w:val="00731D57"/>
    <w:rsid w:val="00743333"/>
    <w:rsid w:val="00753319"/>
    <w:rsid w:val="00765C2E"/>
    <w:rsid w:val="00771AA4"/>
    <w:rsid w:val="00773A53"/>
    <w:rsid w:val="00782C81"/>
    <w:rsid w:val="00785005"/>
    <w:rsid w:val="007860E0"/>
    <w:rsid w:val="007A192E"/>
    <w:rsid w:val="007A2AC4"/>
    <w:rsid w:val="007A40D5"/>
    <w:rsid w:val="007C13BA"/>
    <w:rsid w:val="007C1EA6"/>
    <w:rsid w:val="007C33CA"/>
    <w:rsid w:val="007C5726"/>
    <w:rsid w:val="007D5B7B"/>
    <w:rsid w:val="007E3361"/>
    <w:rsid w:val="007E7A2E"/>
    <w:rsid w:val="007F109E"/>
    <w:rsid w:val="00804ECA"/>
    <w:rsid w:val="008052B1"/>
    <w:rsid w:val="008437FE"/>
    <w:rsid w:val="0087409C"/>
    <w:rsid w:val="0087731C"/>
    <w:rsid w:val="008877E1"/>
    <w:rsid w:val="008B46C7"/>
    <w:rsid w:val="008B4D36"/>
    <w:rsid w:val="008B6224"/>
    <w:rsid w:val="008C16E6"/>
    <w:rsid w:val="008D3CED"/>
    <w:rsid w:val="008D6E88"/>
    <w:rsid w:val="008E382A"/>
    <w:rsid w:val="008E6E3D"/>
    <w:rsid w:val="008F1F59"/>
    <w:rsid w:val="008F20FE"/>
    <w:rsid w:val="008F75E3"/>
    <w:rsid w:val="00902B98"/>
    <w:rsid w:val="00915C0D"/>
    <w:rsid w:val="00925660"/>
    <w:rsid w:val="00930AE6"/>
    <w:rsid w:val="0097213B"/>
    <w:rsid w:val="00972B5F"/>
    <w:rsid w:val="00994FF6"/>
    <w:rsid w:val="009C4D3B"/>
    <w:rsid w:val="009F410F"/>
    <w:rsid w:val="009F68D4"/>
    <w:rsid w:val="00A1604B"/>
    <w:rsid w:val="00A209DA"/>
    <w:rsid w:val="00A2504B"/>
    <w:rsid w:val="00A3720F"/>
    <w:rsid w:val="00A544B2"/>
    <w:rsid w:val="00A65E06"/>
    <w:rsid w:val="00A70759"/>
    <w:rsid w:val="00A7314A"/>
    <w:rsid w:val="00A81BC6"/>
    <w:rsid w:val="00AA13DE"/>
    <w:rsid w:val="00AB403E"/>
    <w:rsid w:val="00AC1A07"/>
    <w:rsid w:val="00AC25AB"/>
    <w:rsid w:val="00AD07BF"/>
    <w:rsid w:val="00AF326F"/>
    <w:rsid w:val="00B27F93"/>
    <w:rsid w:val="00B4256E"/>
    <w:rsid w:val="00B42589"/>
    <w:rsid w:val="00B53E2E"/>
    <w:rsid w:val="00B742B0"/>
    <w:rsid w:val="00B829F0"/>
    <w:rsid w:val="00B91987"/>
    <w:rsid w:val="00BB42E0"/>
    <w:rsid w:val="00BD2F3D"/>
    <w:rsid w:val="00BF4445"/>
    <w:rsid w:val="00BF4B45"/>
    <w:rsid w:val="00C1333A"/>
    <w:rsid w:val="00C22915"/>
    <w:rsid w:val="00C36241"/>
    <w:rsid w:val="00C441DA"/>
    <w:rsid w:val="00C577C9"/>
    <w:rsid w:val="00C713E3"/>
    <w:rsid w:val="00C90E3E"/>
    <w:rsid w:val="00C91EBA"/>
    <w:rsid w:val="00CA57BC"/>
    <w:rsid w:val="00CC5CA2"/>
    <w:rsid w:val="00CD3529"/>
    <w:rsid w:val="00CE0A42"/>
    <w:rsid w:val="00CE74A3"/>
    <w:rsid w:val="00CE775E"/>
    <w:rsid w:val="00D21A28"/>
    <w:rsid w:val="00D24246"/>
    <w:rsid w:val="00D43513"/>
    <w:rsid w:val="00D52BFD"/>
    <w:rsid w:val="00D55387"/>
    <w:rsid w:val="00D56A76"/>
    <w:rsid w:val="00D57AA6"/>
    <w:rsid w:val="00D77978"/>
    <w:rsid w:val="00D81924"/>
    <w:rsid w:val="00D965AA"/>
    <w:rsid w:val="00DA1031"/>
    <w:rsid w:val="00DD792D"/>
    <w:rsid w:val="00E12926"/>
    <w:rsid w:val="00E206C0"/>
    <w:rsid w:val="00E2665D"/>
    <w:rsid w:val="00E30E15"/>
    <w:rsid w:val="00E50BDD"/>
    <w:rsid w:val="00E64FB5"/>
    <w:rsid w:val="00E72241"/>
    <w:rsid w:val="00E748D5"/>
    <w:rsid w:val="00E76257"/>
    <w:rsid w:val="00E84A08"/>
    <w:rsid w:val="00E87D3A"/>
    <w:rsid w:val="00E908A7"/>
    <w:rsid w:val="00E923F9"/>
    <w:rsid w:val="00E92857"/>
    <w:rsid w:val="00EC055A"/>
    <w:rsid w:val="00EC1A2D"/>
    <w:rsid w:val="00EC26A2"/>
    <w:rsid w:val="00EC682D"/>
    <w:rsid w:val="00ED154F"/>
    <w:rsid w:val="00ED6F71"/>
    <w:rsid w:val="00EE67A3"/>
    <w:rsid w:val="00EE75F0"/>
    <w:rsid w:val="00EF2AAD"/>
    <w:rsid w:val="00EF32EF"/>
    <w:rsid w:val="00EF51A0"/>
    <w:rsid w:val="00F10C36"/>
    <w:rsid w:val="00F20BB1"/>
    <w:rsid w:val="00F23555"/>
    <w:rsid w:val="00F32711"/>
    <w:rsid w:val="00F354E1"/>
    <w:rsid w:val="00F47337"/>
    <w:rsid w:val="00F506E4"/>
    <w:rsid w:val="00F91963"/>
    <w:rsid w:val="00F93FAA"/>
    <w:rsid w:val="00FB0BCB"/>
    <w:rsid w:val="00FC1A7B"/>
    <w:rsid w:val="00FC3986"/>
    <w:rsid w:val="00FD4B04"/>
    <w:rsid w:val="00FD7133"/>
    <w:rsid w:val="00FE2C4C"/>
    <w:rsid w:val="00FF1251"/>
    <w:rsid w:val="00FF2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85CCE"/>
    <w:rPr>
      <w:sz w:val="24"/>
      <w:szCs w:val="24"/>
    </w:rPr>
  </w:style>
  <w:style w:type="paragraph" w:styleId="Nadpis1">
    <w:name w:val="heading 1"/>
    <w:basedOn w:val="Normln"/>
    <w:next w:val="Normln"/>
    <w:qFormat/>
    <w:rsid w:val="00185CCE"/>
    <w:pPr>
      <w:keepNext/>
      <w:outlineLvl w:val="0"/>
    </w:pPr>
    <w:rPr>
      <w:rFonts w:ascii="Arial" w:hAnsi="Arial"/>
      <w:b/>
      <w:bCs/>
      <w:color w:val="000000"/>
      <w:szCs w:val="16"/>
    </w:rPr>
  </w:style>
  <w:style w:type="paragraph" w:styleId="Nadpis2">
    <w:name w:val="heading 2"/>
    <w:basedOn w:val="Normln"/>
    <w:next w:val="Normln"/>
    <w:qFormat/>
    <w:rsid w:val="00185CCE"/>
    <w:pPr>
      <w:keepNext/>
      <w:outlineLvl w:val="1"/>
    </w:pPr>
    <w:rPr>
      <w:rFonts w:ascii="Arial" w:hAnsi="Arial"/>
      <w:b/>
      <w:bCs/>
      <w:color w:val="000000"/>
      <w:sz w:val="20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185CCE"/>
    <w:pPr>
      <w:jc w:val="center"/>
    </w:pPr>
    <w:rPr>
      <w:rFonts w:ascii="Arial" w:hAnsi="Arial" w:cs="Arial"/>
      <w:b/>
      <w:bCs/>
      <w:sz w:val="32"/>
    </w:rPr>
  </w:style>
  <w:style w:type="paragraph" w:styleId="Zkladntextodsazen">
    <w:name w:val="Body Text Indent"/>
    <w:basedOn w:val="Normln"/>
    <w:link w:val="ZkladntextodsazenChar"/>
    <w:rsid w:val="00185CCE"/>
    <w:pPr>
      <w:ind w:firstLine="708"/>
      <w:jc w:val="both"/>
    </w:pPr>
    <w:rPr>
      <w:rFonts w:ascii="Arial" w:hAnsi="Arial" w:cs="Arial"/>
    </w:rPr>
  </w:style>
  <w:style w:type="paragraph" w:styleId="Zkladntext">
    <w:name w:val="Body Text"/>
    <w:basedOn w:val="Normln"/>
    <w:rsid w:val="00185CCE"/>
    <w:pPr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6552C3"/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link w:val="TextbublinyChar"/>
    <w:rsid w:val="005863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863D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5863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863DD"/>
    <w:rPr>
      <w:sz w:val="24"/>
      <w:szCs w:val="24"/>
    </w:rPr>
  </w:style>
  <w:style w:type="paragraph" w:styleId="Zpat">
    <w:name w:val="footer"/>
    <w:basedOn w:val="Normln"/>
    <w:link w:val="ZpatChar"/>
    <w:rsid w:val="005863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863D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0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List_aplikace_Microsoft_Office_Excel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 pitchFamily="34" charset="0"/>
                <a:ea typeface="Arial CE"/>
                <a:cs typeface="Arial" pitchFamily="34" charset="0"/>
              </a:defRPr>
            </a:pPr>
            <a:r>
              <a:rPr lang="cs-CZ" sz="1200">
                <a:latin typeface="Arial" pitchFamily="34" charset="0"/>
                <a:cs typeface="Arial" pitchFamily="34" charset="0"/>
              </a:rPr>
              <a:t>Četnost útoků v jednotlivých měsících</a:t>
            </a:r>
          </a:p>
        </c:rich>
      </c:tx>
      <c:layout>
        <c:manualLayout>
          <c:xMode val="edge"/>
          <c:yMode val="edge"/>
          <c:x val="0.28612712667114959"/>
          <c:y val="1.8633331210957206E-2"/>
        </c:manualLayout>
      </c:layout>
      <c:spPr>
        <a:noFill/>
        <a:ln w="25400">
          <a:noFill/>
        </a:ln>
      </c:spPr>
    </c:title>
    <c:view3D>
      <c:hPercent val="44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3.4435261707989058E-2"/>
          <c:y val="0.14325068870523441"/>
          <c:w val="0.830578512396696"/>
          <c:h val="0.74380165289256428"/>
        </c:manualLayout>
      </c:layout>
      <c:bar3DChart>
        <c:barDir val="col"/>
        <c:grouping val="clustered"/>
        <c:ser>
          <c:idx val="0"/>
          <c:order val="0"/>
          <c:tx>
            <c:strRef>
              <c:f>List1!$B$3</c:f>
              <c:strCache>
                <c:ptCount val="1"/>
                <c:pt idx="0">
                  <c:v>2009 (553)</c:v>
                </c:pt>
              </c:strCache>
            </c:strRef>
          </c:tx>
          <c:spPr>
            <a:solidFill>
              <a:srgbClr val="AE113B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010520379166712E-4"/>
                  <c:y val="-8.848327921273982E-3"/>
                </c:manualLayout>
              </c:layout>
              <c:showVal val="1"/>
            </c:dLbl>
            <c:dLbl>
              <c:idx val="1"/>
              <c:layout>
                <c:manualLayout>
                  <c:x val="5.4118854977838774E-3"/>
                  <c:y val="-1.8365628824698829E-3"/>
                </c:manualLayout>
              </c:layout>
              <c:showVal val="1"/>
            </c:dLbl>
            <c:dLbl>
              <c:idx val="2"/>
              <c:layout>
                <c:manualLayout>
                  <c:x val="1.6118233154739955E-3"/>
                  <c:y val="-8.848327921273982E-3"/>
                </c:manualLayout>
              </c:layout>
              <c:showVal val="1"/>
            </c:dLbl>
            <c:dLbl>
              <c:idx val="3"/>
              <c:layout>
                <c:manualLayout>
                  <c:x val="-3.6730945821855103E-3"/>
                  <c:y val="-1.0781671159029681E-2"/>
                </c:manualLayout>
              </c:layout>
              <c:showVal val="1"/>
            </c:dLbl>
            <c:dLbl>
              <c:idx val="5"/>
              <c:layout>
                <c:manualLayout>
                  <c:x val="5.5096418732782544E-3"/>
                  <c:y val="-7.1877807726864395E-3"/>
                </c:manualLayout>
              </c:layout>
              <c:showVal val="1"/>
            </c:dLbl>
            <c:dLbl>
              <c:idx val="9"/>
              <c:layout>
                <c:manualLayout>
                  <c:x val="-4.9689440993788882E-3"/>
                  <c:y val="0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C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List1!$A$4:$A$15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List1!$B$4:$B$15</c:f>
              <c:numCache>
                <c:formatCode>General</c:formatCode>
                <c:ptCount val="12"/>
                <c:pt idx="0">
                  <c:v>44</c:v>
                </c:pt>
                <c:pt idx="1">
                  <c:v>44</c:v>
                </c:pt>
                <c:pt idx="2">
                  <c:v>44</c:v>
                </c:pt>
                <c:pt idx="3">
                  <c:v>48</c:v>
                </c:pt>
                <c:pt idx="4">
                  <c:v>44</c:v>
                </c:pt>
                <c:pt idx="5">
                  <c:v>52</c:v>
                </c:pt>
                <c:pt idx="6">
                  <c:v>51</c:v>
                </c:pt>
                <c:pt idx="7">
                  <c:v>52</c:v>
                </c:pt>
                <c:pt idx="8">
                  <c:v>41</c:v>
                </c:pt>
                <c:pt idx="9">
                  <c:v>39</c:v>
                </c:pt>
                <c:pt idx="10">
                  <c:v>40</c:v>
                </c:pt>
                <c:pt idx="11">
                  <c:v>54</c:v>
                </c:pt>
              </c:numCache>
            </c:numRef>
          </c:val>
        </c:ser>
        <c:ser>
          <c:idx val="1"/>
          <c:order val="1"/>
          <c:tx>
            <c:strRef>
              <c:f>List1!$C$3</c:f>
              <c:strCache>
                <c:ptCount val="1"/>
                <c:pt idx="0">
                  <c:v>2008 (519)</c:v>
                </c:pt>
              </c:strCache>
            </c:strRef>
          </c:tx>
          <c:spPr>
            <a:solidFill>
              <a:srgbClr val="EEC813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1455427575685281E-2"/>
                  <c:y val="-2.4897170872508933E-2"/>
                </c:manualLayout>
              </c:layout>
              <c:showVal val="1"/>
            </c:dLbl>
            <c:dLbl>
              <c:idx val="1"/>
              <c:layout>
                <c:manualLayout>
                  <c:x val="4.6442954961208507E-3"/>
                  <c:y val="-2.5729425331267528E-2"/>
                </c:manualLayout>
              </c:layout>
              <c:showVal val="1"/>
            </c:dLbl>
            <c:dLbl>
              <c:idx val="2"/>
              <c:layout>
                <c:manualLayout>
                  <c:x val="4.5306320181051965E-4"/>
                  <c:y val="-7.6399883976767174E-3"/>
                </c:manualLayout>
              </c:layout>
              <c:showVal val="1"/>
            </c:dLbl>
            <c:dLbl>
              <c:idx val="3"/>
              <c:layout>
                <c:manualLayout>
                  <c:x val="0"/>
                  <c:y val="-2.1563342318059429E-2"/>
                </c:manualLayout>
              </c:layout>
              <c:showVal val="1"/>
            </c:dLbl>
            <c:dLbl>
              <c:idx val="4"/>
              <c:layout>
                <c:manualLayout>
                  <c:x val="9.1827364554637886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9.1827364554637886E-3"/>
                  <c:y val="-1.0781671159029681E-2"/>
                </c:manualLayout>
              </c:layout>
              <c:showVal val="1"/>
            </c:dLbl>
            <c:dLbl>
              <c:idx val="6"/>
              <c:layout>
                <c:manualLayout>
                  <c:x val="7.2095335909098533E-4"/>
                  <c:y val="6.3989953045546005E-17"/>
                </c:manualLayout>
              </c:layout>
              <c:showVal val="1"/>
            </c:dLbl>
            <c:dLbl>
              <c:idx val="7"/>
              <c:layout>
                <c:manualLayout>
                  <c:x val="9.1827364554637886E-3"/>
                  <c:y val="-7.1877807726864395E-3"/>
                </c:manualLayout>
              </c:layout>
              <c:showVal val="1"/>
            </c:dLbl>
            <c:dLbl>
              <c:idx val="8"/>
              <c:layout>
                <c:manualLayout>
                  <c:x val="5.5096418732782544E-3"/>
                  <c:y val="-1.0781671159029681E-2"/>
                </c:manualLayout>
              </c:layout>
              <c:showVal val="1"/>
            </c:dLbl>
            <c:dLbl>
              <c:idx val="10"/>
              <c:layout>
                <c:manualLayout>
                  <c:x val="8.2815734989648056E-3"/>
                  <c:y val="-1.0471204188481679E-2"/>
                </c:manualLayout>
              </c:layout>
              <c:showVal val="1"/>
            </c:dLbl>
            <c:dLbl>
              <c:idx val="11"/>
              <c:layout>
                <c:manualLayout>
                  <c:x val="8.2815734989648056E-3"/>
                  <c:y val="0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FFC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List1!$A$4:$A$15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List1!$C$4:$C$15</c:f>
              <c:numCache>
                <c:formatCode>General</c:formatCode>
                <c:ptCount val="12"/>
                <c:pt idx="0">
                  <c:v>39</c:v>
                </c:pt>
                <c:pt idx="1">
                  <c:v>42</c:v>
                </c:pt>
                <c:pt idx="2">
                  <c:v>43</c:v>
                </c:pt>
                <c:pt idx="3">
                  <c:v>49</c:v>
                </c:pt>
                <c:pt idx="4">
                  <c:v>54</c:v>
                </c:pt>
                <c:pt idx="5">
                  <c:v>43</c:v>
                </c:pt>
                <c:pt idx="6">
                  <c:v>27</c:v>
                </c:pt>
                <c:pt idx="7">
                  <c:v>50</c:v>
                </c:pt>
                <c:pt idx="8">
                  <c:v>40</c:v>
                </c:pt>
                <c:pt idx="9">
                  <c:v>51</c:v>
                </c:pt>
                <c:pt idx="10">
                  <c:v>40</c:v>
                </c:pt>
                <c:pt idx="11">
                  <c:v>41</c:v>
                </c:pt>
              </c:numCache>
            </c:numRef>
          </c:val>
        </c:ser>
        <c:ser>
          <c:idx val="2"/>
          <c:order val="2"/>
          <c:tx>
            <c:strRef>
              <c:f>List1!$D$3</c:f>
              <c:strCache>
                <c:ptCount val="1"/>
                <c:pt idx="0">
                  <c:v>2007 (541)</c:v>
                </c:pt>
              </c:strCache>
            </c:strRef>
          </c:tx>
          <c:spPr>
            <a:solidFill>
              <a:srgbClr val="A8C8EB"/>
            </a:solidFill>
            <a:ln>
              <a:solidFill>
                <a:schemeClr val="tx1"/>
              </a:solidFill>
            </a:ln>
          </c:spPr>
          <c:dLbls>
            <c:dLbl>
              <c:idx val="0"/>
              <c:layout>
                <c:manualLayout>
                  <c:x val="1.4692233718719062E-2"/>
                  <c:y val="-2.5157232704402597E-2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baseline="0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atin typeface="Arial" pitchFamily="34" charset="0"/>
                      <a:cs typeface="Arial" pitchFamily="34" charset="0"/>
                    </a:defRPr>
                  </a:pPr>
                  <a:endParaRPr lang="cs-CZ"/>
                </a:p>
              </c:txPr>
              <c:showVal val="1"/>
            </c:dLbl>
            <c:dLbl>
              <c:idx val="1"/>
              <c:layout>
                <c:manualLayout>
                  <c:x val="1.1019283746556479E-2"/>
                  <c:y val="-3.5938903863432241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baseline="0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atin typeface="Arial" pitchFamily="34" charset="0"/>
                      <a:cs typeface="Arial" pitchFamily="34" charset="0"/>
                    </a:defRPr>
                  </a:pPr>
                  <a:endParaRPr lang="cs-CZ"/>
                </a:p>
              </c:txPr>
              <c:showVal val="1"/>
            </c:dLbl>
            <c:dLbl>
              <c:idx val="2"/>
              <c:layout>
                <c:manualLayout>
                  <c:x val="9.1827364554637886E-3"/>
                  <c:y val="-3.5938903863432241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1000" b="1" i="0" baseline="0"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atin typeface="Arial" pitchFamily="34" charset="0"/>
                      <a:cs typeface="Arial" pitchFamily="34" charset="0"/>
                    </a:defRPr>
                  </a:pPr>
                  <a:endParaRPr lang="cs-CZ"/>
                </a:p>
              </c:txPr>
              <c:showVal val="1"/>
            </c:dLbl>
            <c:dLbl>
              <c:idx val="3"/>
              <c:layout>
                <c:manualLayout>
                  <c:x val="1.1019283746556413E-2"/>
                  <c:y val="-7.1877807726864395E-3"/>
                </c:manualLayout>
              </c:layout>
              <c:tx>
                <c:rich>
                  <a:bodyPr/>
                  <a:lstStyle/>
                  <a:p>
                    <a:r>
                      <a:rPr lang="en-US" sz="1000" b="1" i="0" baseline="0"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</a:rPr>
                      <a:t>61</a:t>
                    </a:r>
                  </a:p>
                </c:rich>
              </c:tx>
            </c:dLbl>
            <c:dLbl>
              <c:idx val="4"/>
              <c:layout>
                <c:manualLayout>
                  <c:x val="1.2855831037649241E-2"/>
                  <c:y val="-1.0781671159029681E-2"/>
                </c:manualLayout>
              </c:layout>
              <c:showVal val="1"/>
            </c:dLbl>
            <c:dLbl>
              <c:idx val="5"/>
              <c:layout>
                <c:manualLayout>
                  <c:x val="1.2855831037649241E-2"/>
                  <c:y val="-1.0781671159029681E-2"/>
                </c:manualLayout>
              </c:layout>
              <c:showVal val="1"/>
            </c:dLbl>
            <c:dLbl>
              <c:idx val="7"/>
              <c:layout>
                <c:manualLayout>
                  <c:x val="9.1827364554637886E-3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1.469237832874196E-2"/>
                  <c:y val="0"/>
                </c:manualLayout>
              </c:layout>
              <c:showVal val="1"/>
            </c:dLbl>
            <c:dLbl>
              <c:idx val="9"/>
              <c:layout>
                <c:manualLayout>
                  <c:x val="6.6252587991718547E-3"/>
                  <c:y val="0"/>
                </c:manualLayout>
              </c:layout>
              <c:showVal val="1"/>
            </c:dLbl>
            <c:dLbl>
              <c:idx val="10"/>
              <c:layout>
                <c:manualLayout>
                  <c:x val="9.937888198757773E-3"/>
                  <c:y val="3.4904013961605637E-3"/>
                </c:manualLayout>
              </c:layout>
              <c:showVal val="1"/>
            </c:dLbl>
            <c:dLbl>
              <c:idx val="11"/>
              <c:layout>
                <c:manualLayout>
                  <c:x val="8.2815734989648056E-3"/>
                  <c:y val="0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baseline="0">
                    <a:solidFill>
                      <a:schemeClr val="tx2">
                        <a:lumMod val="40000"/>
                        <a:lumOff val="60000"/>
                      </a:schemeClr>
                    </a:solidFill>
                  </a:defRPr>
                </a:pPr>
                <a:endParaRPr lang="cs-CZ"/>
              </a:p>
            </c:txPr>
            <c:showVal val="1"/>
          </c:dLbls>
          <c:cat>
            <c:strRef>
              <c:f>List1!$A$4:$A$15</c:f>
              <c:strCache>
                <c:ptCount val="12"/>
                <c:pt idx="0">
                  <c:v>leden</c:v>
                </c:pt>
                <c:pt idx="1">
                  <c:v>únor</c:v>
                </c:pt>
                <c:pt idx="2">
                  <c:v>březen</c:v>
                </c:pt>
                <c:pt idx="3">
                  <c:v>duben</c:v>
                </c:pt>
                <c:pt idx="4">
                  <c:v>květen</c:v>
                </c:pt>
                <c:pt idx="5">
                  <c:v>červen</c:v>
                </c:pt>
                <c:pt idx="6">
                  <c:v>červenec</c:v>
                </c:pt>
                <c:pt idx="7">
                  <c:v>srpen</c:v>
                </c:pt>
                <c:pt idx="8">
                  <c:v>září</c:v>
                </c:pt>
                <c:pt idx="9">
                  <c:v>říjen</c:v>
                </c:pt>
                <c:pt idx="10">
                  <c:v>listopad</c:v>
                </c:pt>
                <c:pt idx="11">
                  <c:v>prosinec</c:v>
                </c:pt>
              </c:strCache>
            </c:strRef>
          </c:cat>
          <c:val>
            <c:numRef>
              <c:f>List1!$D$4:$D$15</c:f>
              <c:numCache>
                <c:formatCode>General</c:formatCode>
                <c:ptCount val="12"/>
                <c:pt idx="0">
                  <c:v>41</c:v>
                </c:pt>
                <c:pt idx="1">
                  <c:v>45</c:v>
                </c:pt>
                <c:pt idx="2">
                  <c:v>54</c:v>
                </c:pt>
                <c:pt idx="3">
                  <c:v>61</c:v>
                </c:pt>
                <c:pt idx="4">
                  <c:v>50</c:v>
                </c:pt>
                <c:pt idx="5">
                  <c:v>42</c:v>
                </c:pt>
                <c:pt idx="6">
                  <c:v>50</c:v>
                </c:pt>
                <c:pt idx="7">
                  <c:v>43</c:v>
                </c:pt>
                <c:pt idx="8">
                  <c:v>42</c:v>
                </c:pt>
                <c:pt idx="9">
                  <c:v>44</c:v>
                </c:pt>
                <c:pt idx="10">
                  <c:v>37</c:v>
                </c:pt>
                <c:pt idx="11">
                  <c:v>32</c:v>
                </c:pt>
              </c:numCache>
            </c:numRef>
          </c:val>
        </c:ser>
        <c:dLbls>
          <c:showVal val="1"/>
        </c:dLbls>
        <c:shape val="box"/>
        <c:axId val="76047488"/>
        <c:axId val="76049408"/>
        <c:axId val="0"/>
      </c:bar3DChart>
      <c:catAx>
        <c:axId val="76047488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6049408"/>
        <c:crosses val="autoZero"/>
        <c:auto val="1"/>
        <c:lblAlgn val="ctr"/>
        <c:lblOffset val="100"/>
        <c:tickLblSkip val="1"/>
        <c:tickMarkSkip val="1"/>
      </c:catAx>
      <c:valAx>
        <c:axId val="76049408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60474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6164378213054138"/>
          <c:y val="0.43200005659669899"/>
          <c:w val="0.12602734575533428"/>
          <c:h val="0.1706667798600649"/>
        </c:manualLayout>
      </c:layout>
      <c:spPr>
        <a:noFill/>
        <a:ln w="25400">
          <a:noFill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Arial CE"/>
              <a:ea typeface="Arial CE"/>
              <a:cs typeface="Arial CE"/>
            </a:defRPr>
          </a:pPr>
          <a:endParaRPr lang="cs-CZ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 pitchFamily="34" charset="0"/>
                <a:ea typeface="Arial CE"/>
                <a:cs typeface="Arial" pitchFamily="34" charset="0"/>
              </a:defRPr>
            </a:pPr>
            <a:r>
              <a:rPr lang="cs-CZ" sz="1200">
                <a:latin typeface="Arial" pitchFamily="34" charset="0"/>
                <a:cs typeface="Arial" pitchFamily="34" charset="0"/>
              </a:rPr>
              <a:t>Rozdělení četnosti útoků v jednotlivých dnech</a:t>
            </a:r>
          </a:p>
        </c:rich>
      </c:tx>
      <c:layout>
        <c:manualLayout>
          <c:xMode val="edge"/>
          <c:yMode val="edge"/>
          <c:x val="0.22515544957878603"/>
          <c:y val="3.846165531559359E-2"/>
        </c:manualLayout>
      </c:layout>
      <c:spPr>
        <a:noFill/>
        <a:ln w="25400">
          <a:noFill/>
        </a:ln>
      </c:spPr>
    </c:title>
    <c:view3D>
      <c:hPercent val="39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4.8252911813644175E-2"/>
          <c:y val="0.19471947194719563"/>
          <c:w val="0.93510815307820294"/>
          <c:h val="0.68646864686468645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3F94D3"/>
            </a:solidFill>
            <a:ln w="12700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7.0388484048189946E-3"/>
                  <c:y val="-2.5068645265495654E-2"/>
                </c:manualLayout>
              </c:layout>
              <c:showVal val="1"/>
            </c:dLbl>
            <c:dLbl>
              <c:idx val="1"/>
              <c:layout>
                <c:manualLayout>
                  <c:x val="9.6771347841087246E-3"/>
                  <c:y val="-1.5776725658488897E-2"/>
                </c:manualLayout>
              </c:layout>
              <c:showVal val="1"/>
            </c:dLbl>
            <c:dLbl>
              <c:idx val="2"/>
              <c:layout>
                <c:manualLayout>
                  <c:x val="9.2094977312528227E-3"/>
                  <c:y val="-2.114590981593541E-2"/>
                </c:manualLayout>
              </c:layout>
              <c:showVal val="1"/>
            </c:dLbl>
            <c:dLbl>
              <c:idx val="3"/>
              <c:layout>
                <c:manualLayout>
                  <c:x val="1.3400413134714241E-2"/>
                  <c:y val="-1.7746495514427318E-2"/>
                </c:manualLayout>
              </c:layout>
              <c:showVal val="1"/>
            </c:dLbl>
            <c:dLbl>
              <c:idx val="4"/>
              <c:layout>
                <c:manualLayout>
                  <c:x val="1.4485743358619275E-2"/>
                  <c:y val="-2.9626553915487189E-2"/>
                </c:manualLayout>
              </c:layout>
              <c:showVal val="1"/>
            </c:dLbl>
            <c:dLbl>
              <c:idx val="5"/>
              <c:layout>
                <c:manualLayout>
                  <c:x val="1.6458134080993621E-2"/>
                  <c:y val="-3.6030753390552867E-2"/>
                </c:manualLayout>
              </c:layout>
              <c:showVal val="1"/>
            </c:dLbl>
            <c:dLbl>
              <c:idx val="6"/>
              <c:layout>
                <c:manualLayout>
                  <c:x val="1.5103601180287285E-2"/>
                  <c:y val="-4.1146779729456878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List1!$A$11:$A$17</c:f>
              <c:strCache>
                <c:ptCount val="7"/>
                <c:pt idx="0">
                  <c:v>pondělí</c:v>
                </c:pt>
                <c:pt idx="1">
                  <c:v>úterý</c:v>
                </c:pt>
                <c:pt idx="2">
                  <c:v>středa</c:v>
                </c:pt>
                <c:pt idx="3">
                  <c:v>čtvrtek</c:v>
                </c:pt>
                <c:pt idx="4">
                  <c:v>pátek</c:v>
                </c:pt>
                <c:pt idx="5">
                  <c:v>sobota</c:v>
                </c:pt>
                <c:pt idx="6">
                  <c:v>neděle</c:v>
                </c:pt>
              </c:strCache>
            </c:strRef>
          </c:cat>
          <c:val>
            <c:numRef>
              <c:f>List1!$B$11:$B$17</c:f>
              <c:numCache>
                <c:formatCode>General</c:formatCode>
                <c:ptCount val="7"/>
                <c:pt idx="0">
                  <c:v>62</c:v>
                </c:pt>
                <c:pt idx="1">
                  <c:v>70</c:v>
                </c:pt>
                <c:pt idx="2">
                  <c:v>60</c:v>
                </c:pt>
                <c:pt idx="3">
                  <c:v>70</c:v>
                </c:pt>
                <c:pt idx="4">
                  <c:v>80</c:v>
                </c:pt>
                <c:pt idx="5">
                  <c:v>102</c:v>
                </c:pt>
                <c:pt idx="6">
                  <c:v>109</c:v>
                </c:pt>
              </c:numCache>
            </c:numRef>
          </c:val>
        </c:ser>
        <c:dLbls>
          <c:showVal val="1"/>
        </c:dLbls>
        <c:shape val="box"/>
        <c:axId val="115825280"/>
        <c:axId val="115843456"/>
        <c:axId val="0"/>
      </c:bar3DChart>
      <c:catAx>
        <c:axId val="11582528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115843456"/>
        <c:crosses val="autoZero"/>
        <c:auto val="1"/>
        <c:lblAlgn val="ctr"/>
        <c:lblOffset val="100"/>
        <c:tickLblSkip val="1"/>
        <c:tickMarkSkip val="1"/>
      </c:catAx>
      <c:valAx>
        <c:axId val="11584345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1158252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199" b="1" i="0" u="none" strike="noStrike" baseline="0">
                <a:solidFill>
                  <a:srgbClr val="000000"/>
                </a:solidFill>
                <a:latin typeface="Arial" pitchFamily="34" charset="0"/>
                <a:ea typeface="Arial CE"/>
                <a:cs typeface="Arial" pitchFamily="34" charset="0"/>
              </a:defRPr>
            </a:pPr>
            <a:r>
              <a:rPr lang="cs-CZ" sz="1199">
                <a:latin typeface="Arial" pitchFamily="34" charset="0"/>
                <a:cs typeface="Arial" pitchFamily="34" charset="0"/>
              </a:rPr>
              <a:t>Četnost útoků u jednotlivých útvarů a KŘP</a:t>
            </a:r>
          </a:p>
        </c:rich>
      </c:tx>
      <c:layout>
        <c:manualLayout>
          <c:xMode val="edge"/>
          <c:yMode val="edge"/>
          <c:x val="0.26160463673060391"/>
          <c:y val="9.7859327217125383E-2"/>
        </c:manualLayout>
      </c:layout>
      <c:spPr>
        <a:noFill/>
        <a:ln w="25371">
          <a:noFill/>
        </a:ln>
      </c:spPr>
    </c:title>
    <c:view3D>
      <c:hPercent val="64"/>
      <c:depthPercent val="16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0.11248854196913022"/>
          <c:y val="0.14774093605271843"/>
          <c:w val="0.72898981445106859"/>
          <c:h val="0.60554371002132201"/>
        </c:manualLayout>
      </c:layout>
      <c:bar3DChart>
        <c:barDir val="col"/>
        <c:grouping val="clustered"/>
        <c:varyColors val="1"/>
        <c:ser>
          <c:idx val="0"/>
          <c:order val="0"/>
          <c:spPr>
            <a:solidFill>
              <a:srgbClr val="9999FF"/>
            </a:solidFill>
            <a:ln w="12685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AE113B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A8C8EB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8EB73C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EEC813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3F94D3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5B3376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28C7F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D4751F"/>
              </a:solidFill>
              <a:ln w="12685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46181658893186E-2"/>
                  <c:y val="-1.2954856734384295E-2"/>
                </c:manualLayout>
              </c:layout>
              <c:showVal val="1"/>
            </c:dLbl>
            <c:dLbl>
              <c:idx val="1"/>
              <c:layout>
                <c:manualLayout>
                  <c:x val="1.4042676949922983E-2"/>
                  <c:y val="-1.8785229808851861E-2"/>
                </c:manualLayout>
              </c:layout>
              <c:showVal val="1"/>
            </c:dLbl>
            <c:dLbl>
              <c:idx val="2"/>
              <c:layout>
                <c:manualLayout>
                  <c:x val="1.288925751586114E-2"/>
                  <c:y val="-3.7933657461216699E-2"/>
                </c:manualLayout>
              </c:layout>
              <c:showVal val="1"/>
            </c:dLbl>
            <c:dLbl>
              <c:idx val="3"/>
              <c:layout>
                <c:manualLayout>
                  <c:x val="1.3995856537084711E-2"/>
                  <c:y val="-1.1261534096179816E-2"/>
                </c:manualLayout>
              </c:layout>
              <c:showVal val="1"/>
            </c:dLbl>
            <c:dLbl>
              <c:idx val="4"/>
              <c:layout>
                <c:manualLayout>
                  <c:x val="9.1697634922857704E-3"/>
                  <c:y val="-1.0298972503696857E-2"/>
                </c:manualLayout>
              </c:layout>
              <c:showVal val="1"/>
            </c:dLbl>
            <c:dLbl>
              <c:idx val="5"/>
              <c:layout>
                <c:manualLayout>
                  <c:x val="1.4802431501807841E-2"/>
                  <c:y val="-8.4587555453697651E-3"/>
                </c:manualLayout>
              </c:layout>
              <c:showVal val="1"/>
            </c:dLbl>
            <c:dLbl>
              <c:idx val="6"/>
              <c:layout>
                <c:manualLayout>
                  <c:x val="1.1917626762518202E-2"/>
                  <c:y val="-2.6930913296854892E-2"/>
                </c:manualLayout>
              </c:layout>
              <c:showVal val="1"/>
            </c:dLbl>
            <c:dLbl>
              <c:idx val="7"/>
              <c:layout>
                <c:manualLayout>
                  <c:x val="1.7979538073319475E-2"/>
                  <c:y val="-2.0931552834892505E-2"/>
                </c:manualLayout>
              </c:layout>
              <c:showVal val="1"/>
            </c:dLbl>
            <c:dLbl>
              <c:idx val="8"/>
              <c:layout>
                <c:manualLayout>
                  <c:x val="1.6279572440585841E-2"/>
                  <c:y val="-9.6225601737413048E-3"/>
                </c:manualLayout>
              </c:layout>
              <c:showVal val="1"/>
            </c:dLbl>
            <c:dLbl>
              <c:idx val="9"/>
              <c:layout>
                <c:manualLayout>
                  <c:xMode val="edge"/>
                  <c:yMode val="edge"/>
                  <c:x val="0.61044176706827524"/>
                  <c:y val="0.31567796610169602"/>
                </c:manualLayout>
              </c:layout>
              <c:showVal val="1"/>
            </c:dLbl>
            <c:spPr>
              <a:noFill/>
              <a:ln w="25371">
                <a:noFill/>
              </a:ln>
            </c:spPr>
            <c:txPr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List1!$A$21:$A$29</c:f>
              <c:strCache>
                <c:ptCount val="9"/>
                <c:pt idx="0">
                  <c:v>PP ČR + útv. s celost. půs.</c:v>
                </c:pt>
                <c:pt idx="1">
                  <c:v>hlavního města Prahy</c:v>
                </c:pt>
                <c:pt idx="2">
                  <c:v>Středočeského kraje</c:v>
                </c:pt>
                <c:pt idx="3">
                  <c:v>Jihočeského kraje</c:v>
                </c:pt>
                <c:pt idx="4">
                  <c:v>Západočeského kraje</c:v>
                </c:pt>
                <c:pt idx="5">
                  <c:v>Severočeského kraje</c:v>
                </c:pt>
                <c:pt idx="6">
                  <c:v>Východočeského kraje</c:v>
                </c:pt>
                <c:pt idx="7">
                  <c:v>Jihomoravského kraje</c:v>
                </c:pt>
                <c:pt idx="8">
                  <c:v>Severomoravského kraje</c:v>
                </c:pt>
              </c:strCache>
            </c:strRef>
          </c:cat>
          <c:val>
            <c:numRef>
              <c:f>List1!$B$21:$B$29</c:f>
              <c:numCache>
                <c:formatCode>General</c:formatCode>
                <c:ptCount val="9"/>
                <c:pt idx="0">
                  <c:v>13</c:v>
                </c:pt>
                <c:pt idx="1">
                  <c:v>92</c:v>
                </c:pt>
                <c:pt idx="2">
                  <c:v>64</c:v>
                </c:pt>
                <c:pt idx="3">
                  <c:v>30</c:v>
                </c:pt>
                <c:pt idx="4">
                  <c:v>44</c:v>
                </c:pt>
                <c:pt idx="5">
                  <c:v>114</c:v>
                </c:pt>
                <c:pt idx="6">
                  <c:v>45</c:v>
                </c:pt>
                <c:pt idx="7">
                  <c:v>61</c:v>
                </c:pt>
                <c:pt idx="8">
                  <c:v>90</c:v>
                </c:pt>
              </c:numCache>
            </c:numRef>
          </c:val>
        </c:ser>
        <c:dLbls>
          <c:showVal val="1"/>
        </c:dLbls>
        <c:gapWidth val="100"/>
        <c:shape val="box"/>
        <c:axId val="71034368"/>
        <c:axId val="71036288"/>
        <c:axId val="0"/>
      </c:bar3DChart>
      <c:catAx>
        <c:axId val="71034368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r>
                  <a:rPr lang="cs-CZ"/>
                  <a:t>útvar</a:t>
                </a:r>
                <a:r>
                  <a:rPr lang="cs-CZ" baseline="0"/>
                  <a:t> (KŘP)</a:t>
                </a:r>
                <a:endParaRPr lang="cs-CZ"/>
              </a:p>
            </c:rich>
          </c:tx>
          <c:layout>
            <c:manualLayout>
              <c:xMode val="edge"/>
              <c:yMode val="edge"/>
              <c:x val="0.41345845873638143"/>
              <c:y val="0.95409600746014733"/>
            </c:manualLayout>
          </c:layout>
          <c:spPr>
            <a:noFill/>
            <a:ln w="25371">
              <a:noFill/>
            </a:ln>
          </c:spPr>
        </c:title>
        <c:numFmt formatCode="General" sourceLinked="1"/>
        <c:tickLblPos val="low"/>
        <c:spPr>
          <a:ln w="3171">
            <a:solidFill>
              <a:srgbClr val="000000"/>
            </a:solidFill>
            <a:prstDash val="solid"/>
          </a:ln>
        </c:spPr>
        <c:txPr>
          <a:bodyPr rot="-2280000" vert="horz"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036288"/>
        <c:crosses val="autoZero"/>
        <c:auto val="1"/>
        <c:lblAlgn val="ctr"/>
        <c:lblOffset val="120"/>
        <c:tickLblSkip val="1"/>
        <c:tickMarkSkip val="1"/>
      </c:catAx>
      <c:valAx>
        <c:axId val="71036288"/>
        <c:scaling>
          <c:orientation val="minMax"/>
        </c:scaling>
        <c:axPos val="l"/>
        <c:majorGridlines>
          <c:spPr>
            <a:ln w="317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9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034368"/>
        <c:crosses val="autoZero"/>
        <c:crossBetween val="between"/>
      </c:valAx>
      <c:spPr>
        <a:noFill/>
        <a:ln w="25371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999" b="1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 pitchFamily="34" charset="0"/>
                <a:ea typeface="Arial CE"/>
                <a:cs typeface="Arial" pitchFamily="34" charset="0"/>
              </a:defRPr>
            </a:pPr>
            <a:r>
              <a:rPr lang="cs-CZ">
                <a:latin typeface="Arial" pitchFamily="34" charset="0"/>
                <a:cs typeface="Arial" pitchFamily="34" charset="0"/>
              </a:rPr>
              <a:t>Četnost útoků u jednotlivých služeb</a:t>
            </a:r>
          </a:p>
        </c:rich>
      </c:tx>
      <c:layout>
        <c:manualLayout>
          <c:xMode val="edge"/>
          <c:yMode val="edge"/>
          <c:x val="0.2368421834125983"/>
          <c:y val="2.0576243759003812E-2"/>
        </c:manualLayout>
      </c:layout>
      <c:spPr>
        <a:noFill/>
        <a:ln w="25397">
          <a:noFill/>
        </a:ln>
      </c:spPr>
    </c:title>
    <c:view3D>
      <c:hPercent val="36"/>
      <c:depthPercent val="100"/>
      <c:rAngAx val="1"/>
    </c:view3D>
    <c:floor>
      <c:spPr>
        <a:noFill/>
        <a:ln w="3175">
          <a:solidFill>
            <a:srgbClr val="000000"/>
          </a:solidFill>
          <a:prstDash val="solid"/>
        </a:ln>
      </c:spPr>
    </c:floor>
    <c:sideWall>
      <c:spPr>
        <a:noFill/>
        <a:ln w="25400">
          <a:noFill/>
        </a:ln>
      </c:spPr>
    </c:sideWall>
    <c:backWall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9375000000000004E-2"/>
          <c:y val="0.18560606060606091"/>
          <c:w val="0.92343749999999958"/>
          <c:h val="0.67803030303030365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8EB73C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EEC813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AE113B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3B7EA9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028C7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6382689005979521E-2"/>
                  <c:y val="-5.0786429474093717E-2"/>
                </c:manualLayout>
              </c:layout>
              <c:showVal val="1"/>
            </c:dLbl>
            <c:dLbl>
              <c:idx val="1"/>
              <c:layout>
                <c:manualLayout>
                  <c:x val="1.751504746117262E-2"/>
                  <c:y val="-3.7025803873281291E-2"/>
                </c:manualLayout>
              </c:layout>
              <c:showVal val="1"/>
            </c:dLbl>
            <c:dLbl>
              <c:idx val="2"/>
              <c:layout>
                <c:manualLayout>
                  <c:x val="2.1304047520375836E-2"/>
                  <c:y val="-8.4178304872384771E-2"/>
                </c:manualLayout>
              </c:layout>
              <c:showVal val="1"/>
            </c:dLbl>
            <c:dLbl>
              <c:idx val="3"/>
              <c:layout>
                <c:manualLayout>
                  <c:x val="1.7900262467191546E-2"/>
                  <c:y val="-4.3617078729356364E-2"/>
                </c:manualLayout>
              </c:layout>
              <c:showVal val="1"/>
            </c:dLbl>
            <c:dLbl>
              <c:idx val="4"/>
              <c:layout>
                <c:manualLayout>
                  <c:x val="2.0912320170505001E-2"/>
                  <c:y val="-3.808690580344129E-2"/>
                </c:manualLayout>
              </c:layout>
              <c:showVal val="1"/>
            </c:dLbl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List1!$A$34:$A$38</c:f>
              <c:strCache>
                <c:ptCount val="5"/>
                <c:pt idx="0">
                  <c:v>cizinecká</c:v>
                </c:pt>
                <c:pt idx="1">
                  <c:v>dopravní</c:v>
                </c:pt>
                <c:pt idx="2">
                  <c:v>pořádková</c:v>
                </c:pt>
                <c:pt idx="3">
                  <c:v>ostatní</c:v>
                </c:pt>
                <c:pt idx="4">
                  <c:v>SKPV</c:v>
                </c:pt>
              </c:strCache>
            </c:strRef>
          </c:cat>
          <c:val>
            <c:numRef>
              <c:f>List1!$B$34:$B$38</c:f>
              <c:numCache>
                <c:formatCode>General</c:formatCode>
                <c:ptCount val="5"/>
                <c:pt idx="0">
                  <c:v>8</c:v>
                </c:pt>
                <c:pt idx="1">
                  <c:v>31</c:v>
                </c:pt>
                <c:pt idx="2">
                  <c:v>491</c:v>
                </c:pt>
                <c:pt idx="3">
                  <c:v>6</c:v>
                </c:pt>
                <c:pt idx="4">
                  <c:v>17</c:v>
                </c:pt>
              </c:numCache>
            </c:numRef>
          </c:val>
        </c:ser>
        <c:dLbls>
          <c:showVal val="1"/>
        </c:dLbls>
        <c:gapWidth val="100"/>
        <c:shape val="box"/>
        <c:axId val="61187584"/>
        <c:axId val="61189120"/>
        <c:axId val="0"/>
      </c:bar3DChart>
      <c:catAx>
        <c:axId val="61187584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61189120"/>
        <c:crosses val="autoZero"/>
        <c:auto val="1"/>
        <c:lblAlgn val="ctr"/>
        <c:lblOffset val="100"/>
        <c:tickLblSkip val="1"/>
        <c:tickMarkSkip val="1"/>
      </c:catAx>
      <c:valAx>
        <c:axId val="61189120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61187584"/>
        <c:crosses val="autoZero"/>
        <c:crossBetween val="between"/>
      </c:valAx>
      <c:spPr>
        <a:noFill/>
        <a:ln w="25397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autoTitleDeleted val="1"/>
    <c:view3D>
      <c:rotY val="180"/>
      <c:perspective val="0"/>
    </c:view3D>
    <c:plotArea>
      <c:layout>
        <c:manualLayout>
          <c:layoutTarget val="inner"/>
          <c:xMode val="edge"/>
          <c:yMode val="edge"/>
          <c:x val="0.15926493108729037"/>
          <c:y val="9.3406593406593505E-2"/>
          <c:w val="0.56814701378254262"/>
          <c:h val="0.80769230769230771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FFFF00"/>
            </a:solidFill>
            <a:ln w="1265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3366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0.18637165885782367"/>
                  <c:y val="-0.31379449120191188"/>
                </c:manualLayout>
              </c:layout>
              <c:dLblPos val="bestFit"/>
              <c:showPercent val="1"/>
            </c:dLbl>
            <c:dLbl>
              <c:idx val="1"/>
              <c:layout>
                <c:manualLayout>
                  <c:x val="-0.20706949155362309"/>
                  <c:y val="-1.8225330957688544E-2"/>
                </c:manualLayout>
              </c:layout>
              <c:dLblPos val="bestFit"/>
              <c:showPercent val="1"/>
            </c:dLbl>
            <c:numFmt formatCode="0%" sourceLinked="0"/>
            <c:spPr>
              <a:noFill/>
              <a:ln w="25303">
                <a:noFill/>
              </a:ln>
            </c:spPr>
            <c:txPr>
              <a:bodyPr/>
              <a:lstStyle/>
              <a:p>
                <a:pPr>
                  <a:defRPr sz="1195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Percent val="1"/>
            <c:showLeaderLines val="1"/>
          </c:dLbls>
          <c:cat>
            <c:strRef>
              <c:f>Sheet1!$B$1:$C$1</c:f>
              <c:strCache>
                <c:ptCount val="2"/>
                <c:pt idx="0">
                  <c:v>se zraněním</c:v>
                </c:pt>
                <c:pt idx="1">
                  <c:v>bez zranění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175</c:v>
                </c:pt>
                <c:pt idx="1">
                  <c:v>245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5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03">
                <a:noFill/>
              </a:ln>
            </c:spPr>
            <c:txPr>
              <a:bodyPr/>
              <a:lstStyle/>
              <a:p>
                <a:pPr>
                  <a:defRPr sz="797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Percent val="1"/>
            <c:showLeaderLines val="1"/>
          </c:dLbls>
          <c:cat>
            <c:strRef>
              <c:f>Sheet1!$B$1:$C$1</c:f>
              <c:strCache>
                <c:ptCount val="2"/>
                <c:pt idx="0">
                  <c:v>se zraněním</c:v>
                </c:pt>
                <c:pt idx="1">
                  <c:v>bez zranění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5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03">
                <a:noFill/>
              </a:ln>
            </c:spPr>
            <c:txPr>
              <a:bodyPr/>
              <a:lstStyle/>
              <a:p>
                <a:pPr>
                  <a:defRPr sz="797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Percent val="1"/>
            <c:showLeaderLines val="1"/>
          </c:dLbls>
          <c:cat>
            <c:strRef>
              <c:f>Sheet1!$B$1:$C$1</c:f>
              <c:strCache>
                <c:ptCount val="2"/>
                <c:pt idx="0">
                  <c:v>se zraněním</c:v>
                </c:pt>
                <c:pt idx="1">
                  <c:v>bez zranění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  <c:pt idx="0">
                  <c:v>se zranění</c:v>
                </c:pt>
              </c:strCache>
            </c:strRef>
          </c:tx>
          <c:spPr>
            <a:solidFill>
              <a:srgbClr val="CCFFFF"/>
            </a:solidFill>
            <a:ln w="1265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03">
                <a:noFill/>
              </a:ln>
            </c:spPr>
            <c:txPr>
              <a:bodyPr/>
              <a:lstStyle/>
              <a:p>
                <a:pPr>
                  <a:defRPr sz="797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Percent val="1"/>
            <c:showLeaderLines val="1"/>
          </c:dLbls>
          <c:cat>
            <c:strRef>
              <c:f>Sheet1!$B$1:$C$1</c:f>
              <c:strCache>
                <c:ptCount val="2"/>
                <c:pt idx="0">
                  <c:v>se zraněním</c:v>
                </c:pt>
                <c:pt idx="1">
                  <c:v>bez zranění</c:v>
                </c:pt>
              </c:strCache>
            </c:strRef>
          </c:cat>
          <c:val>
            <c:numRef>
              <c:f>Sheet1!$B$7:$C$7</c:f>
              <c:numCache>
                <c:formatCode>General</c:formatCode>
                <c:ptCount val="2"/>
                <c:pt idx="0">
                  <c:v>237</c:v>
                </c:pt>
              </c:numCache>
            </c:numRef>
          </c:val>
        </c:ser>
        <c:ser>
          <c:idx val="4"/>
          <c:order val="4"/>
          <c:tx>
            <c:strRef>
              <c:f>Sheet1!$A$8</c:f>
              <c:strCache>
                <c:ptCount val="1"/>
                <c:pt idx="0">
                  <c:v>bez zranění</c:v>
                </c:pt>
              </c:strCache>
            </c:strRef>
          </c:tx>
          <c:spPr>
            <a:solidFill>
              <a:srgbClr val="660066"/>
            </a:solidFill>
            <a:ln w="1265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51">
                <a:solidFill>
                  <a:srgbClr val="000000"/>
                </a:solidFill>
                <a:prstDash val="solid"/>
              </a:ln>
            </c:spPr>
          </c:dPt>
          <c:dLbls>
            <c:numFmt formatCode="0%" sourceLinked="0"/>
            <c:spPr>
              <a:noFill/>
              <a:ln w="25303">
                <a:noFill/>
              </a:ln>
            </c:spPr>
            <c:txPr>
              <a:bodyPr/>
              <a:lstStyle/>
              <a:p>
                <a:pPr>
                  <a:defRPr sz="797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cs-CZ"/>
              </a:p>
            </c:txPr>
            <c:showPercent val="1"/>
            <c:showLeaderLines val="1"/>
          </c:dLbls>
          <c:cat>
            <c:strRef>
              <c:f>Sheet1!$B$1:$C$1</c:f>
              <c:strCache>
                <c:ptCount val="2"/>
                <c:pt idx="0">
                  <c:v>se zraněním</c:v>
                </c:pt>
                <c:pt idx="1">
                  <c:v>bez zranění</c:v>
                </c:pt>
              </c:strCache>
            </c:strRef>
          </c:cat>
          <c:val>
            <c:numRef>
              <c:f>Sheet1!$B$8:$C$8</c:f>
              <c:numCache>
                <c:formatCode>General</c:formatCode>
                <c:ptCount val="2"/>
                <c:pt idx="0">
                  <c:v>316</c:v>
                </c:pt>
              </c:numCache>
            </c:numRef>
          </c:val>
        </c:ser>
        <c:dLbls>
          <c:showPercent val="1"/>
        </c:dLbls>
      </c:pie3DChart>
      <c:spPr>
        <a:solidFill>
          <a:srgbClr val="FFFFFF"/>
        </a:solidFill>
        <a:ln w="25303">
          <a:noFill/>
        </a:ln>
      </c:spPr>
    </c:plotArea>
    <c:legend>
      <c:legendPos val="r"/>
      <c:layout>
        <c:manualLayout>
          <c:xMode val="edge"/>
          <c:yMode val="edge"/>
          <c:x val="0.88208269525267957"/>
          <c:y val="0.39010989010989167"/>
          <c:w val="0.1117917304747323"/>
          <c:h val="0.21428571428571427"/>
        </c:manualLayout>
      </c:layout>
      <c:spPr>
        <a:noFill/>
        <a:ln w="3163">
          <a:solidFill>
            <a:srgbClr val="000000"/>
          </a:solidFill>
          <a:prstDash val="solid"/>
        </a:ln>
      </c:spPr>
      <c:txPr>
        <a:bodyPr/>
        <a:lstStyle/>
        <a:p>
          <a:pPr>
            <a:defRPr sz="732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cs-CZ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 pitchFamily="34" charset="0"/>
                <a:ea typeface="Arial CE"/>
                <a:cs typeface="Arial" pitchFamily="34" charset="0"/>
              </a:defRPr>
            </a:pPr>
            <a:r>
              <a:rPr lang="cs-CZ">
                <a:latin typeface="Arial" pitchFamily="34" charset="0"/>
                <a:cs typeface="Arial" pitchFamily="34" charset="0"/>
              </a:rPr>
              <a:t>Okolnosti, při kterých došlo k útoku</a:t>
            </a:r>
          </a:p>
        </c:rich>
      </c:tx>
      <c:layout>
        <c:manualLayout>
          <c:xMode val="edge"/>
          <c:yMode val="edge"/>
          <c:x val="0.3660190395962763"/>
          <c:y val="1.9449111611977966E-2"/>
        </c:manualLayout>
      </c:layout>
      <c:spPr>
        <a:noFill/>
        <a:ln w="25398">
          <a:noFill/>
        </a:ln>
      </c:spPr>
    </c:title>
    <c:view3D>
      <c:hPercent val="69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3175">
          <a:solidFill>
            <a:srgbClr val="000000"/>
          </a:solidFill>
          <a:prstDash val="solid"/>
        </a:ln>
      </c:spPr>
    </c:sideWall>
    <c:backWall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7582915771892265E-2"/>
          <c:y val="0.15065032125221636"/>
          <c:w val="0.89935069195895956"/>
          <c:h val="0.51081733427389375"/>
        </c:manualLayout>
      </c:layout>
      <c:bar3DChart>
        <c:barDir val="col"/>
        <c:grouping val="clustered"/>
        <c:varyColors val="1"/>
        <c:ser>
          <c:idx val="0"/>
          <c:order val="0"/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A8C8EB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8EB73C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EEC813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3F94D3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5B3376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58C7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D4751F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3B7EA9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AE113B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CE57B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B69DE4"/>
              </a:solidFill>
              <a:ln w="12699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1321674102596621E-2"/>
                  <c:y val="2.8239170833572812E-3"/>
                </c:manualLayout>
              </c:layout>
              <c:showVal val="1"/>
            </c:dLbl>
            <c:dLbl>
              <c:idx val="1"/>
              <c:layout>
                <c:manualLayout>
                  <c:x val="7.6309934171845005E-3"/>
                  <c:y val="-1.3686227177807165E-2"/>
                </c:manualLayout>
              </c:layout>
              <c:showVal val="1"/>
            </c:dLbl>
            <c:dLbl>
              <c:idx val="2"/>
              <c:layout>
                <c:manualLayout>
                  <c:x val="1.0684835698612411E-2"/>
                  <c:y val="-6.663218192616443E-3"/>
                </c:manualLayout>
              </c:layout>
              <c:showVal val="1"/>
            </c:dLbl>
            <c:dLbl>
              <c:idx val="3"/>
              <c:layout>
                <c:manualLayout>
                  <c:x val="7.0335058776510905E-3"/>
                  <c:y val="-1.4438377684541259E-2"/>
                </c:manualLayout>
              </c:layout>
              <c:showVal val="1"/>
            </c:dLbl>
            <c:dLbl>
              <c:idx val="4"/>
              <c:layout>
                <c:manualLayout>
                  <c:x val="7.0615204107238811E-3"/>
                  <c:y val="-2.7672303673905364E-2"/>
                </c:manualLayout>
              </c:layout>
              <c:showVal val="1"/>
            </c:dLbl>
            <c:dLbl>
              <c:idx val="5"/>
              <c:layout>
                <c:manualLayout>
                  <c:x val="8.6571901791924668E-3"/>
                  <c:y val="-1.159645190336613E-3"/>
                </c:manualLayout>
              </c:layout>
              <c:showVal val="1"/>
            </c:dLbl>
            <c:dLbl>
              <c:idx val="6"/>
              <c:layout>
                <c:manualLayout>
                  <c:x val="9.7147446613097248E-3"/>
                  <c:y val="-1.8353928386688905E-2"/>
                </c:manualLayout>
              </c:layout>
              <c:showVal val="1"/>
            </c:dLbl>
            <c:dLbl>
              <c:idx val="7"/>
              <c:layout>
                <c:manualLayout>
                  <c:x val="8.000368914354225E-3"/>
                  <c:y val="-7.5753395789030136E-3"/>
                </c:manualLayout>
              </c:layout>
              <c:showVal val="1"/>
            </c:dLbl>
            <c:dLbl>
              <c:idx val="8"/>
              <c:layout>
                <c:manualLayout>
                  <c:x val="6.7256577308937677E-3"/>
                  <c:y val="6.1746843688334572E-4"/>
                </c:manualLayout>
              </c:layout>
              <c:showVal val="1"/>
            </c:dLbl>
            <c:dLbl>
              <c:idx val="9"/>
              <c:layout>
                <c:manualLayout>
                  <c:x val="6.769270971436047E-3"/>
                  <c:y val="-1.6528919286549041E-2"/>
                </c:manualLayout>
              </c:layout>
              <c:showVal val="1"/>
            </c:dLbl>
            <c:dLbl>
              <c:idx val="10"/>
              <c:layout>
                <c:manualLayout>
                  <c:x val="1.3298747612624557E-2"/>
                  <c:y val="-2.5550893729524692E-2"/>
                </c:manualLayout>
              </c:layout>
              <c:showVal val="1"/>
            </c:dLbl>
            <c:spPr>
              <a:noFill/>
              <a:ln w="25398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List1!$A$67:$A$77</c:f>
              <c:strCache>
                <c:ptCount val="11"/>
                <c:pt idx="0">
                  <c:v>kontrolní činnost</c:v>
                </c:pt>
                <c:pt idx="1">
                  <c:v>výtržnosti </c:v>
                </c:pt>
                <c:pt idx="2">
                  <c:v>občanské soužití</c:v>
                </c:pt>
                <c:pt idx="3">
                  <c:v>kulturní zařízení</c:v>
                </c:pt>
                <c:pt idx="4">
                  <c:v>na služebně</c:v>
                </c:pt>
                <c:pt idx="5">
                  <c:v>ve sl. vozidle</c:v>
                </c:pt>
                <c:pt idx="6">
                  <c:v>při majetkové TČ</c:v>
                </c:pt>
                <c:pt idx="7">
                  <c:v>při pátrání</c:v>
                </c:pt>
                <c:pt idx="8">
                  <c:v>sportovní utkání</c:v>
                </c:pt>
                <c:pt idx="9">
                  <c:v>lékařské ošetření</c:v>
                </c:pt>
                <c:pt idx="10">
                  <c:v>ostatní okolnosti </c:v>
                </c:pt>
              </c:strCache>
            </c:strRef>
          </c:cat>
          <c:val>
            <c:numRef>
              <c:f>List1!$B$67:$B$77</c:f>
              <c:numCache>
                <c:formatCode>General</c:formatCode>
                <c:ptCount val="11"/>
                <c:pt idx="0">
                  <c:v>135</c:v>
                </c:pt>
                <c:pt idx="1">
                  <c:v>107</c:v>
                </c:pt>
                <c:pt idx="2">
                  <c:v>90</c:v>
                </c:pt>
                <c:pt idx="3">
                  <c:v>59</c:v>
                </c:pt>
                <c:pt idx="4">
                  <c:v>14</c:v>
                </c:pt>
                <c:pt idx="5">
                  <c:v>6</c:v>
                </c:pt>
                <c:pt idx="6">
                  <c:v>38</c:v>
                </c:pt>
                <c:pt idx="7">
                  <c:v>22</c:v>
                </c:pt>
                <c:pt idx="8">
                  <c:v>7</c:v>
                </c:pt>
                <c:pt idx="9">
                  <c:v>18</c:v>
                </c:pt>
                <c:pt idx="10">
                  <c:v>57</c:v>
                </c:pt>
              </c:numCache>
            </c:numRef>
          </c:val>
        </c:ser>
        <c:gapWidth val="50"/>
        <c:shape val="box"/>
        <c:axId val="71452160"/>
        <c:axId val="71453696"/>
        <c:axId val="0"/>
      </c:bar3DChart>
      <c:catAx>
        <c:axId val="71452160"/>
        <c:scaling>
          <c:orientation val="minMax"/>
        </c:scaling>
        <c:axPos val="b"/>
        <c:numFmt formatCode="General" sourceLinked="1"/>
        <c:majorTickMark val="in"/>
        <c:minorTickMark val="out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453696"/>
        <c:crosses val="autoZero"/>
        <c:auto val="1"/>
        <c:lblAlgn val="ctr"/>
        <c:lblOffset val="220"/>
        <c:tickLblSkip val="1"/>
        <c:tickMarkSkip val="1"/>
      </c:catAx>
      <c:valAx>
        <c:axId val="7145369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1452160"/>
        <c:crosses val="autoZero"/>
        <c:crossBetween val="between"/>
      </c:valAx>
      <c:spPr>
        <a:noFill/>
        <a:ln w="25398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cs-CZ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r>
              <a:rPr lang="cs-CZ"/>
              <a:t>Způsob provedení útoku</a:t>
            </a:r>
          </a:p>
        </c:rich>
      </c:tx>
      <c:layout>
        <c:manualLayout>
          <c:xMode val="edge"/>
          <c:yMode val="edge"/>
          <c:x val="0.34410345858666375"/>
          <c:y val="2.0231009726725476E-2"/>
        </c:manualLayout>
      </c:layout>
      <c:spPr>
        <a:noFill/>
        <a:ln w="25400">
          <a:noFill/>
        </a:ln>
      </c:spPr>
    </c:title>
    <c:view3D>
      <c:hPercent val="55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noFill/>
        <a:ln w="3175">
          <a:solidFill>
            <a:srgbClr val="000000"/>
          </a:solidFill>
          <a:prstDash val="solid"/>
        </a:ln>
      </c:spPr>
    </c:sideWall>
    <c:backWall>
      <c:spPr>
        <a:noFill/>
        <a:ln w="3175">
          <a:solidFill>
            <a:srgbClr val="00000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8546042003231471E-2"/>
          <c:y val="0.11271676300578057"/>
          <c:w val="0.8303715670436187"/>
          <c:h val="0.5884696189741655"/>
        </c:manualLayout>
      </c:layout>
      <c:bar3DChart>
        <c:barDir val="col"/>
        <c:grouping val="clustered"/>
        <c:varyColors val="1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A8C8EB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8EB73C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EEC813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3F94D3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5B3376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28C7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D4751F"/>
              </a:solidFill>
              <a:ln w="12700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1.9554051070718993E-2"/>
                  <c:y val="-3.2757990088784085E-2"/>
                </c:manualLayout>
              </c:layout>
              <c:showVal val="1"/>
            </c:dLbl>
            <c:dLbl>
              <c:idx val="1"/>
              <c:layout>
                <c:manualLayout>
                  <c:x val="2.3453966477130678E-2"/>
                  <c:y val="-2.6980413575470763E-2"/>
                </c:manualLayout>
              </c:layout>
              <c:showVal val="1"/>
            </c:dLbl>
            <c:dLbl>
              <c:idx val="2"/>
              <c:layout>
                <c:manualLayout>
                  <c:x val="1.9712349040482129E-2"/>
                  <c:y val="-3.9382775708993095E-2"/>
                </c:manualLayout>
              </c:layout>
              <c:showVal val="1"/>
            </c:dLbl>
            <c:dLbl>
              <c:idx val="3"/>
              <c:layout>
                <c:manualLayout>
                  <c:x val="1.9919851481979403E-2"/>
                  <c:y val="-1.2406343943849114E-2"/>
                </c:manualLayout>
              </c:layout>
              <c:showVal val="1"/>
            </c:dLbl>
            <c:dLbl>
              <c:idx val="4"/>
              <c:layout>
                <c:manualLayout>
                  <c:x val="1.8960597215067831E-2"/>
                  <c:y val="-1.3239906383543198E-2"/>
                </c:manualLayout>
              </c:layout>
              <c:showVal val="1"/>
            </c:dLbl>
            <c:dLbl>
              <c:idx val="5"/>
              <c:layout>
                <c:manualLayout>
                  <c:x val="1.9616840577854597E-2"/>
                  <c:y val="-1.314046270531974E-2"/>
                </c:manualLayout>
              </c:layout>
              <c:showVal val="1"/>
            </c:dLbl>
            <c:dLbl>
              <c:idx val="6"/>
              <c:layout>
                <c:manualLayout>
                  <c:x val="2.4177234854988922E-2"/>
                  <c:y val="-4.7343017140907932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E"/>
                    <a:ea typeface="Arial CE"/>
                    <a:cs typeface="Arial CE"/>
                  </a:defRPr>
                </a:pPr>
                <a:endParaRPr lang="cs-CZ"/>
              </a:p>
            </c:txPr>
            <c:showVal val="1"/>
          </c:dLbls>
          <c:cat>
            <c:strRef>
              <c:f>List1!$A$44:$A$50</c:f>
              <c:strCache>
                <c:ptCount val="7"/>
                <c:pt idx="0">
                  <c:v>fyzické napadení</c:v>
                </c:pt>
                <c:pt idx="1">
                  <c:v>střelná zbraň</c:v>
                </c:pt>
                <c:pt idx="2">
                  <c:v>vozidlem</c:v>
                </c:pt>
                <c:pt idx="3">
                  <c:v>nožem</c:v>
                </c:pt>
                <c:pt idx="4">
                  <c:v>ostatní zbraně</c:v>
                </c:pt>
                <c:pt idx="5">
                  <c:v>vulgarismy</c:v>
                </c:pt>
                <c:pt idx="6">
                  <c:v>vyhrožování</c:v>
                </c:pt>
              </c:strCache>
            </c:strRef>
          </c:cat>
          <c:val>
            <c:numRef>
              <c:f>List1!$B$44:$B$50</c:f>
              <c:numCache>
                <c:formatCode>General</c:formatCode>
                <c:ptCount val="7"/>
                <c:pt idx="0">
                  <c:v>401</c:v>
                </c:pt>
                <c:pt idx="1">
                  <c:v>3</c:v>
                </c:pt>
                <c:pt idx="2">
                  <c:v>93</c:v>
                </c:pt>
                <c:pt idx="3">
                  <c:v>14</c:v>
                </c:pt>
                <c:pt idx="4">
                  <c:v>39</c:v>
                </c:pt>
                <c:pt idx="5">
                  <c:v>27</c:v>
                </c:pt>
                <c:pt idx="6">
                  <c:v>40</c:v>
                </c:pt>
              </c:numCache>
            </c:numRef>
          </c:val>
        </c:ser>
        <c:gapWidth val="50"/>
        <c:shape val="box"/>
        <c:axId val="77150080"/>
        <c:axId val="77151616"/>
        <c:axId val="0"/>
      </c:bar3DChart>
      <c:catAx>
        <c:axId val="77150080"/>
        <c:scaling>
          <c:orientation val="minMax"/>
        </c:scaling>
        <c:axPos val="b"/>
        <c:numFmt formatCode="General" sourceLinked="1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-4020000" vert="horz"/>
          <a:lstStyle/>
          <a:p>
            <a:pPr>
              <a:defRPr sz="1000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7151616"/>
        <c:crosses val="autoZero"/>
        <c:auto val="1"/>
        <c:lblAlgn val="ctr"/>
        <c:lblOffset val="100"/>
        <c:tickLblSkip val="1"/>
        <c:tickMarkSkip val="1"/>
      </c:catAx>
      <c:valAx>
        <c:axId val="77151616"/>
        <c:scaling>
          <c:orientation val="minMax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1" i="0" u="none" strike="noStrike" baseline="0">
                <a:solidFill>
                  <a:srgbClr val="000000"/>
                </a:solidFill>
                <a:latin typeface="Arial CE"/>
                <a:ea typeface="Arial CE"/>
                <a:cs typeface="Arial CE"/>
              </a:defRPr>
            </a:pPr>
            <a:endParaRPr lang="cs-CZ"/>
          </a:p>
        </c:txPr>
        <c:crossAx val="771500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cs-CZ"/>
    </a:p>
  </c:txPr>
  <c:externalData r:id="rId1"/>
</c:chartSpac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F5D7E064-AC8F-4FDC-B93E-1DB9AE424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PP ČR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Šilberský Petr</dc:creator>
  <cp:keywords/>
  <dc:description/>
  <cp:lastModifiedBy>Internet</cp:lastModifiedBy>
  <cp:revision>3</cp:revision>
  <cp:lastPrinted>2010-01-20T10:54:00Z</cp:lastPrinted>
  <dcterms:created xsi:type="dcterms:W3CDTF">2010-01-20T11:37:00Z</dcterms:created>
  <dcterms:modified xsi:type="dcterms:W3CDTF">2010-01-20T11:43:00Z</dcterms:modified>
</cp:coreProperties>
</file>