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458" w:rsidRPr="00DA4458" w:rsidRDefault="00DA4458" w:rsidP="00DA4458">
      <w:pPr>
        <w:spacing w:before="120" w:after="120" w:line="240" w:lineRule="auto"/>
        <w:jc w:val="center"/>
        <w:rPr>
          <w:rFonts w:ascii="Times New Roman" w:eastAsia="Times New Roman" w:hAnsi="Times New Roman" w:cs="Times New Roman"/>
          <w:b/>
          <w:bCs/>
          <w:spacing w:val="29"/>
          <w:sz w:val="32"/>
          <w:szCs w:val="32"/>
          <w:lang w:eastAsia="cs-CZ"/>
        </w:rPr>
      </w:pPr>
      <w:r w:rsidRPr="00DA4458">
        <w:rPr>
          <w:rFonts w:ascii="Arial" w:eastAsia="Times New Roman" w:hAnsi="Arial" w:cs="Arial"/>
          <w:b/>
          <w:bCs/>
          <w:sz w:val="28"/>
          <w:szCs w:val="28"/>
          <w:lang w:eastAsia="cs-CZ"/>
        </w:rPr>
        <w:t>Poučení poškozeného v trestním řízení</w:t>
      </w:r>
    </w:p>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 xml:space="preserve">V trestní věci </w:t>
      </w:r>
      <w:r w:rsidRPr="00DA4458">
        <w:rPr>
          <w:rFonts w:ascii="Arial" w:eastAsia="Times New Roman" w:hAnsi="Arial" w:cs="Arial"/>
          <w:lang w:eastAsia="cs-CZ"/>
        </w:rPr>
        <w:t>Metodická příručka - statistiky</w:t>
      </w:r>
      <w:r w:rsidRPr="00DA4458">
        <w:rPr>
          <w:rFonts w:ascii="Arial" w:eastAsia="Times New Roman" w:hAnsi="Arial" w:cs="Arial"/>
          <w:lang w:eastAsia="cs-CZ"/>
        </w:rPr>
        <w:br/>
        <w:t xml:space="preserve">proti </w:t>
      </w:r>
      <w:r w:rsidRPr="00DA4458">
        <w:rPr>
          <w:rFonts w:ascii="Arial" w:eastAsia="Times New Roman" w:hAnsi="Arial" w:cs="Arial"/>
          <w:b/>
          <w:bCs/>
          <w:lang w:eastAsia="cs-CZ"/>
        </w:rPr>
        <w:t>.....................................................</w:t>
      </w:r>
      <w:r w:rsidRPr="00DA4458">
        <w:rPr>
          <w:rFonts w:ascii="Arial" w:eastAsia="Times New Roman" w:hAnsi="Arial" w:cs="Arial"/>
          <w:lang w:eastAsia="cs-CZ"/>
        </w:rPr>
        <w:br/>
        <w:t>pro .............................. ..............................</w:t>
      </w:r>
      <w:r w:rsidRPr="00DA4458">
        <w:rPr>
          <w:rFonts w:ascii="Arial" w:eastAsia="Times New Roman" w:hAnsi="Arial" w:cs="Arial"/>
          <w:lang w:eastAsia="cs-CZ"/>
        </w:rPr>
        <w:br/>
        <w:t xml:space="preserve">podle </w:t>
      </w:r>
      <w:r w:rsidRPr="00DA4458">
        <w:rPr>
          <w:rFonts w:ascii="Arial" w:eastAsia="Times New Roman" w:hAnsi="Arial" w:cs="Arial"/>
          <w:b/>
          <w:bCs/>
          <w:lang w:eastAsia="cs-CZ"/>
        </w:rPr>
        <w:t>§ ..............................</w:t>
      </w:r>
      <w:r w:rsidRPr="00DA4458">
        <w:rPr>
          <w:rFonts w:ascii="Arial" w:eastAsia="Times New Roman" w:hAnsi="Arial" w:cs="Arial"/>
          <w:lang w:eastAsia="cs-CZ"/>
        </w:rPr>
        <w:t xml:space="preserve"> trestního zákoníku</w:t>
      </w:r>
    </w:p>
    <w:p w:rsidR="00DA4458" w:rsidRPr="00DA4458" w:rsidRDefault="00DA4458" w:rsidP="00DA4458">
      <w:pPr>
        <w:spacing w:before="240" w:after="0" w:line="240" w:lineRule="auto"/>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Poučení poškozeného podle  zákona č. 59/2017 Sb., o použití peněžních prostředků z majetkových trestních sankcí:</w:t>
      </w:r>
    </w:p>
    <w:p w:rsidR="00DA4458" w:rsidRPr="00DA4458" w:rsidRDefault="00DA4458" w:rsidP="00DA4458">
      <w:pPr>
        <w:spacing w:before="6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8 odst. 1 zákona č. 59/2017 Sb., o použití peněžních prostředků z majetkových trestních sankcí uložených v trestním řízení, může poškozený</w:t>
      </w:r>
    </w:p>
    <w:p w:rsidR="00DA4458" w:rsidRPr="00DA4458" w:rsidRDefault="00DA4458" w:rsidP="00DA4458">
      <w:pPr>
        <w:spacing w:before="6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který v trestním řízení, ve kterém byla pravomocně uložena majetková trestní sankce nebo ve kterém si soud rozhodnutí o uložení majetkové trestní sankce vyhradil do veřejného zasedání podle § 230 odst. 2 nebo 3 trestního řádu, uplatnil majetkový nárok a tento nárok mu byl přiznán rozhodnutím soudu vydaným v trestním řízení, které nabylo právní moci a je vykonatelné, nebo uplatnil majetkový nárok a byl s tímto nárokem, byť jen zčásti, pravomocným rozhodnutím soudu vydaným v trestním řízení odkázán na řízení ve věcech občanskoprávních, nebo</w:t>
      </w:r>
    </w:p>
    <w:p w:rsidR="00DA4458" w:rsidRPr="00DA4458" w:rsidRDefault="00DA4458" w:rsidP="00DA4458">
      <w:pPr>
        <w:spacing w:before="6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 o jehož majetkovém nároku pravomocně rozhodl soud v řízení ve věcech občanskoprávních, pokud v trestním řízení o trestném činu, v důsledku jehož spáchání mu tento nárok vznikl, byla uložena majetková trestní sankce nebo si soud rozhodnutí o uložení majetkové trestní sankce vyhradil do veřejného zasedání podle § 230 odst. 2 nebo 3 trestního řádu, nebo </w:t>
      </w:r>
    </w:p>
    <w:p w:rsidR="00DA4458" w:rsidRPr="00DA4458" w:rsidRDefault="00DA4458" w:rsidP="00DA4458">
      <w:pPr>
        <w:spacing w:before="6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vůči němuž má pachatel pravomocným a vykonatelným rozhodnutím soudu v řízení ve věcech občanskoprávních stanovenou výši vyživovací povinnosti, pokud v řízení o trestném činu zanedbání povinné výživy byla pravomocně uložena majetková trestní sankce,</w:t>
      </w:r>
    </w:p>
    <w:p w:rsidR="00DA4458" w:rsidRPr="00DA4458" w:rsidRDefault="00DA4458" w:rsidP="00DA4458">
      <w:pPr>
        <w:spacing w:before="6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podat Ministerstvu spravedlnosti České republiky žádost o uspokojení majetkového nároku. Žádost musí být podána do 60 dnů od nabytí právní moci trestního příkazu nebo odsuzujícího rozsudku vydaného soudem v trestním řízení o trestném činu, v důsledku jehož spáchání vznikl oprávněné osobě majetkový nárok, nebo do 60 dnů od nabytí právní moci rozhodnutí vydaného soudem v řízení ve věcech občanskoprávních, kterým byl oprávněné osobě přiznán její majetkový nárok. Po uplynutí této lhůty právo na uspokojení majetkového nároku ze zvláštního účtu zaniká.</w:t>
      </w:r>
    </w:p>
    <w:p w:rsidR="00DA4458" w:rsidRPr="00DA4458" w:rsidRDefault="00DA4458" w:rsidP="00DA4458">
      <w:pPr>
        <w:spacing w:before="240" w:after="0" w:line="240" w:lineRule="auto"/>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Poučení poškozeného podle zákona č. 141/1961 Sb., trestní řád:</w:t>
      </w:r>
    </w:p>
    <w:p w:rsidR="00DA4458" w:rsidRPr="00DA4458" w:rsidRDefault="00DA4458" w:rsidP="00DA4458">
      <w:pPr>
        <w:spacing w:after="15"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43 odst. 1 trestního řádu ten, komu bylo trestným činem ublíženo na zdraví, způsobena majetková nebo nemajetková újma, nebo na jehož úkor se pachatel trestným činem obohatil (poškozený), má právo činit návrhy na doplnění dokazování, nahlížet do spisů, činit si výpisky a poznámky a na svoje náklady pořizovat kopie spisů a jejich částí (§ 65 trestního řádu), zúčastnit se sjednávání dohody o vině a trestu, zúčastnit se hlavního líčení a veřejného zasedání konaného o odvolání nebo o schválení dohody o vině a trestu a před skončením řízení se k věci vyjádřit. Jde-li o trestný čin zanedbání povinné výživy (</w:t>
      </w:r>
      <w:hyperlink r:id="rId4" w:history="1">
        <w:r w:rsidRPr="00DA4458">
          <w:rPr>
            <w:rFonts w:ascii="Times New Roman" w:eastAsia="Times New Roman" w:hAnsi="Times New Roman" w:cs="Times New Roman"/>
            <w:i/>
            <w:iCs/>
            <w:color w:val="000000"/>
            <w:sz w:val="18"/>
            <w:szCs w:val="18"/>
            <w:lang w:eastAsia="cs-CZ"/>
          </w:rPr>
          <w:t>§ 196 trestního zákoníku</w:t>
        </w:r>
      </w:hyperlink>
      <w:r w:rsidRPr="00DA4458">
        <w:rPr>
          <w:rFonts w:ascii="Arial" w:eastAsia="Times New Roman" w:hAnsi="Arial" w:cs="Arial"/>
          <w:i/>
          <w:iCs/>
          <w:sz w:val="18"/>
          <w:szCs w:val="18"/>
          <w:lang w:eastAsia="cs-CZ"/>
        </w:rPr>
        <w:t>), rozumí se pro účely tohoto zákona majetkovou škodou, jež byla poškozenému způsobena trestným činem, i dlužné výživné.</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43 odst. 2 trestního řádu se za poškozeného nepovažuje ten, kdo se sice cítí být trestným činem morálně nebo jinak poškozen, avšak vzniklá újma není způsobena zaviněním pachatele nebo její vznik není v příčinné souvislosti s trestným činem.</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43 odst. 3 trestního řádu jste jako poškozený oprávněn také navrhnout, aby soud v odsuzujícím rozsudku uložil obžalovanému povinnost nahradit v penězích škodu nebo nemajetkovou újmu, jež byla poškozenému trestným činem způsobena, nebo vydat bezdůvodné obohacení, které obžalovaný na jeho úkor trestným činem získal. Návrh je třeba učinit nejpozději u hlavního líčení před zahájením dokazování (§ 206 odst. 2); je-li sjednána dohoda o vině a trestu, je třeba návrh učinit nejpozději při prvním jednání o takové dohodě (§ 175a odst. 2). Z návrhu musí být patrno, z jakých důvodů a v jaké výši se nárok na náhradu škody nebo nemajetkové újmy uplatňuje nebo z jakých důvodů a v jakém rozsahu se uplatňuje nárok na vydání bezdůvodného obohacení. Důvod a výši škody, nemajetkové újmy nebo bezdůvodného obohacení jste povinen doložit.</w:t>
      </w:r>
      <w:r w:rsidRPr="00DA4458">
        <w:rPr>
          <w:rFonts w:ascii="Arial" w:eastAsia="Times New Roman" w:hAnsi="Arial" w:cs="Arial"/>
          <w:lang w:eastAsia="cs-CZ"/>
        </w:rPr>
        <w:t xml:space="preserve"> </w:t>
      </w:r>
      <w:r w:rsidRPr="00DA4458">
        <w:rPr>
          <w:rFonts w:ascii="Arial" w:eastAsia="Times New Roman" w:hAnsi="Arial" w:cs="Arial"/>
          <w:i/>
          <w:iCs/>
          <w:sz w:val="18"/>
          <w:szCs w:val="18"/>
          <w:lang w:eastAsia="cs-CZ"/>
        </w:rPr>
        <w:t>Podle § 44 odst. 3 trestního řádu návrh nelze podat, bylo-li o nároku již rozhodnuto v občanskoprávním nebo jiném příslušném řízení.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43 odst. 4 trestního řádu jste-li obětí trestného činu podle zákona o obětech (§ 22 zákona o obětech trestných činů), máte právo v kterémkoliv stádiu trestního řízení učinit prohlášení o tom, jaký dopad měl spáchaný trestný čin na Váš dosavadní život. Prohlášení lze učinit i písemně.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43 odst. 5 trestního řádu se můžete výslovným prohlášením sděleným orgánu činnému v trestním řízení vzdát procesních práv, které Vám tento zákon jako poškozenému přiznává.</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44 odst. 1 trestního řádu oprávnění poškozeného nemůže vykonávat ten, kdo je v trestním řízení stíhán jako spoluobviněný.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44 odst. 2 trestního řádu je-li počet poškozených mimořádně vysoký a jednotlivým výkonem jejich práv by mohl být ohrožen rychlý průběh trestního stíhání, rozhodne předseda senátu a v přípravném řízení na návrh státního zástupce soudce, že poškození mohou svá práva v trestním řízení uplatňovat pouze prostřednictvím </w:t>
      </w:r>
      <w:r w:rsidRPr="00DA4458">
        <w:rPr>
          <w:rFonts w:ascii="Arial" w:eastAsia="Times New Roman" w:hAnsi="Arial" w:cs="Arial"/>
          <w:i/>
          <w:iCs/>
          <w:sz w:val="18"/>
          <w:szCs w:val="18"/>
          <w:lang w:eastAsia="cs-CZ"/>
        </w:rPr>
        <w:lastRenderedPageBreak/>
        <w:t>společného zmocněnce, kterého si zvolí. Jestliže by celkový počet zvolených zmocněnců vzrostl na více než šest a poškození se mezi sebou o výběru nedohodnou, provede výběr s přihlédnutím k zájmům poškozených soud. Společný zmocněnec vykonává práva poškozených, které zastupuje, včetně uplatnění nároku na náhradu škody v trestním řízení.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45 odst. 1 trestního řádu není-li poškozený osobou plně svéprávnou nebo je-li omezen na svéprávnosti, vykonává jeho práva podle tohoto zákona jeho zákonný zástupce nebo opatrovník. V případě, že je nebezpečí z prodlení a zákonný zástupce nebo opatrovník nemůže vykonávat svá práva uvedená ve větě první nebo nebyl-li opatrovník ustanoven, ačkoli jsou dány důvody pro jeho ustanovení, je třeba opatrovníka neprodleně ustanovit.</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45 odst. 2 trestního řádu opatrovníka ustanovuje předseda senátu a v přípravném řízení státní zástupce. Jinou osobu než advokáta lze ustanovit opatrovníkem jen s jejím souhlasem.</w:t>
      </w:r>
    </w:p>
    <w:p w:rsidR="00DA4458" w:rsidRPr="00DA4458" w:rsidRDefault="00DA4458" w:rsidP="00DA4458">
      <w:pPr>
        <w:spacing w:before="120" w:after="12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45 odst. 3 trestního řádu jde-li o uplatnění nároku na náhradu škody nebo na vydání bezdůvodného obohacení (§ 43 odst. 3 trestního řádu),</w:t>
      </w:r>
      <w:r w:rsidRPr="00DA4458">
        <w:rPr>
          <w:rFonts w:ascii="Arial" w:eastAsia="Times New Roman" w:hAnsi="Arial" w:cs="Arial"/>
          <w:color w:val="00B050"/>
          <w:sz w:val="24"/>
          <w:szCs w:val="24"/>
          <w:lang w:eastAsia="cs-CZ"/>
        </w:rPr>
        <w:t xml:space="preserve"> </w:t>
      </w:r>
      <w:r w:rsidRPr="00DA4458">
        <w:rPr>
          <w:rFonts w:ascii="Arial" w:eastAsia="Times New Roman" w:hAnsi="Arial" w:cs="Arial"/>
          <w:i/>
          <w:iCs/>
          <w:sz w:val="18"/>
          <w:szCs w:val="18"/>
          <w:lang w:eastAsia="cs-CZ"/>
        </w:rPr>
        <w:t>přecházejí práva, která tento zákon přiznává poškozenému, i na jeho právního nástupce.</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45a trestního řádu se poškozenému veškeré písemnosti doručují na adresu, kterou uvede. Má-li zmocněnce, doručuje se pouze jemu, to neplatí, pokud se poškozenému zasílá výzva, aby osobně něco vykonal.</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46 trestního řádu může poškozený žádat o uspokojení nároku na náhradu škody nebo nemajetkové újmy způsobené trestným činem nebo na vydání bezdůvodného obohacení získaného trestným činem podle zákona o použití peněžních prostředků z majetkových trestních sankcí. Je-li vedeno řízení pro trestný čin, u něhož lze sjednat dohodu o vině a trestu, může dojít k sjednání dohody o vině a trestu a v takovémto případě může poškozený uplatnit nárok na náhradu škody nebo nemajetkové újmy v penězích nebo na vydání bezdůvodného obohacení nejpozději při prvním jednání o takové dohodě.</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47 odst. 1 trestního řádu, byla-li poškozenému způsobena trestným činem škoda nebo nemajetková újma, nebo získal-li obviněný takovým trestným činem na jeho úkor bezdůvodné obohacení, lze nárok až do pravděpodobné výše škody nebo nemajetkové újmy nebo až do pravděpodobného rozsahu bezdůvodného obohacení zajistit na majetku obviněného. Zajišťovat nelze nárok, který nelze v trestním řízení uplatnit. K zajištění nelze užít majetek, který je podle zvláštního právního předpisu vyloučen z výkonu rozhodnutí o zajištění.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47 odst. 2 trestního řádu, o zajištění podle odst. 1 rozhoduje soud na návrh státního zástupce nebo poškozeného, v přípravném řízení státní zástupce na návrh poškozeného. V přípravném řízení může státní zástupce nárok zajistit i bez návrhu poškozeného, vyžaduje-li to ochrana jeho zájmů, zejména hrozí-li nebezpečí z prodlení.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47 odst. 3 trestního řádu, pokud je poškozenému známo, že obviněný je vlastníkem nemovité věci nebo má některou movitou věc umístěnou mimo jeho trvalého nebo jiného pobytu, uvede podle možnosti již v návrhu na zajištění svého nároku na náhradu škody nebo nemajetkové újmy nebo na vydání bezdůvodného obohacení, kde taková věc je.</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50 odstavec 1 trestního řádu se může poškozený dát zastupovat zmocněncem, kterým může být i právnická osoba. Zmocněnec poškozeného může být současně důvěrníkem podle zákona o obětech trestných činů.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50 odst. 2 trestního řádu je-li zmocněnec poškozeného fyzická osoba, nesmí jím být osoba, která není plně svéprávná nebo její svéprávnost je omezena; při hlavním líčení a veřejném zasedání nemůže být zmocněncem ten, kdo je k němu předvolán jako svědek, znalec nebo tlumočník.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51 odst. 1 trestního řádu je zmocněnec poškozeného oprávněn činit za poškozeného návrhy a podávat za něj žádosti a opravné prostředky; je též oprávněn zúčastnit se všech úkonů, kterých se může zúčastnit poškozený.</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51 odst. 2 trestního řádu je zmocněnec poškozeného oprávněn být již od zahájení trestního stíhání při vyšetřovacích úkonech, jimiž se mají objasnit skutečnosti důležité pro uplatnění práv osob, které zastupuje, a jejichž výsledek může být použit jako důkaz v řízení před soudem, ledaže by přítomností zmocněnce mohl být zmařen účel trestního řízení nebo nelze provedení úkonu odložit a vyrozumění o něm zajistit. Může obviněnému i jiným vyslýchaným osobám klást otázky, avšak teprve tehdy, až policejní orgán výslech skončí a udělí mu k tomu slovo. Námitky proti způsobu provádění úkonu může vznášet kdykoliv v jeho průběhu.</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51a odst. 1 trestního řádu osvědčí-li poškozený,</w:t>
      </w:r>
    </w:p>
    <w:p w:rsidR="00DA4458" w:rsidRPr="00DA4458" w:rsidRDefault="00DA4458" w:rsidP="00DA4458">
      <w:pPr>
        <w:spacing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a) kterému byla způsobena úmyslným trestným činem těžká újma na zdraví,</w:t>
      </w:r>
    </w:p>
    <w:p w:rsidR="00DA4458" w:rsidRPr="00DA4458" w:rsidRDefault="00DA4458" w:rsidP="00DA4458">
      <w:pPr>
        <w:spacing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b) který je pozůstalým po oběti, které byla trestným činem způsobena smrt,</w:t>
      </w:r>
    </w:p>
    <w:p w:rsidR="00DA4458" w:rsidRPr="00DA4458" w:rsidRDefault="00DA4458" w:rsidP="00DA4458">
      <w:pPr>
        <w:spacing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že nemá dostatek prostředků na uhrazení nákladů vzniklých přibráním zmocněnce, rozhodne na jeho návrh předseda senátu soudu, který koná řízení v prvním stupni, a v přípravném řízení soudce, že má nárok na právní pomoc poskytovanou zmocněncem bezplatně nebo za sníženou odměnu.</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51a odst. 2 trestního řádu mají poškozený mladší než osmnáct let a zvlášť zranitelná oběť podle zákona o obětech trestných činů, vždy nárok na bezplatné zastupování zmocněncem, nejde-li o trestný čin zanedbání povinné výživy (§ 196 trestního zákoníku).</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51a odst. 3 trestního řádu návrh na rozhodnutí podle odst. 1 podává poškozený v přípravném řízení prostřednictvím státního zástupce a v řízení před soudem příslušnému soudu, který věc projednává.</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lastRenderedPageBreak/>
        <w:t>Podle § 51a odst. 4 trestního řádu pokud si poškozený sám zmocněnce nezvolí, za podmínek uvedených v odst. 1 a 2, je mu předsedou senátu nebo soudcem ustanoven advokát.</w:t>
      </w:r>
      <w:r w:rsidRPr="00DA4458">
        <w:rPr>
          <w:rFonts w:ascii="Arial" w:eastAsia="Times New Roman" w:hAnsi="Arial" w:cs="Arial"/>
          <w:lang w:eastAsia="cs-CZ"/>
        </w:rPr>
        <w:t xml:space="preserve">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Poškozený, který má nárok na ustanovení zmocněnce, může podle § 151a odst. 1 trestního řádu žádat, aby předseda senátu a v přípravném řízení státní zástupce rozhodl o tom, že stát ponese náklady na znalecký posudek, který poškozený vyžádá. Žádosti nelze vyhovět, jestliže takový důkaz není pro objasnění věci zřejmě potřebný nebo stejný úkon k prokázání téže skutečnosti již vyžádal orgán činný v trestním řízení.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55 odst. 1 písm. c) trestního řádu jsou na žádost poškozeného</w:t>
      </w:r>
      <w:r w:rsidRPr="00DA4458">
        <w:rPr>
          <w:rFonts w:ascii="Arial" w:eastAsia="Times New Roman" w:hAnsi="Arial" w:cs="Arial"/>
          <w:i/>
          <w:iCs/>
          <w:color w:val="FF0000"/>
          <w:sz w:val="18"/>
          <w:szCs w:val="18"/>
          <w:lang w:eastAsia="cs-CZ"/>
        </w:rPr>
        <w:t xml:space="preserve">, </w:t>
      </w:r>
      <w:r w:rsidRPr="00DA4458">
        <w:rPr>
          <w:rFonts w:ascii="Arial" w:eastAsia="Times New Roman" w:hAnsi="Arial" w:cs="Arial"/>
          <w:i/>
          <w:iCs/>
          <w:sz w:val="18"/>
          <w:szCs w:val="18"/>
          <w:lang w:eastAsia="cs-CZ"/>
        </w:rPr>
        <w:t xml:space="preserve">oběti (§ 16 zákona o obětech trestných činů), jeho zákonného zástupce, opatrovníka, zmocněnce a dalších osob vyjmenovaných zákonem vedeny údaje o bydlišti a doručovací adrese, o místě výkonu zaměstnání či povolání nebo podnikání a o osobních, rodinných a majetkových poměrech tak, aby se s nimi mohli seznamovat pouze orgány činné v trestním řízení, policisté a Probační a mediační služba, není-li to nezbytné pro dosažení účelu trestního řízení nebo pro řádné uplatnění práva na obhajobu osoby, proti níž se trestní řízení vede.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65 odst. 1 trestního řádu má poškozený a zmocněnec právo nahlížet do spisů, s výjimkou protokolu o hlasování, údajů osob podle § 55 odst. 1 písmene c) trestního řádu a osobních údajů svědka podle § 55 odst. 2 trestního řádu, činit si z nich výpisky a poznámky a pořizovat si na své náklady kopie spisů a jejich částí. Totéž právo má zákonný zástupce a opatrovník poškozeného, který není plně svéprávný nebo je-li jeho svéprávnost omezena.</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65 odst. 2 trestního řádu může v přípravném řízení státní zástupce nebo policejní orgán právo nahlédnout do spisů a spolu s tím ostatní práva uvedená v § 65 odst. 1 trestního řádu ze závažných důvodů odepřít. Závažnost důvodů, ze kterých tato práva odepřel policejní orgán, je na žádost osoby, jíž se odepření týká, státní zástupce povinen urychleně přezkoumat.</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 xml:space="preserve">Podle § 154 odst. 1 trestního řádu byl-li poškozenému alespoň částečně přiznán nárok na náhradu škody nebo nemajetkové újmy v penězích nebo na vydání bezdůvodného obohacení, je odsouzený, jemuž byla povinnost k náhradě škody nebo nemajetkové újmy v penězích nebo k vydání bezdůvodného obohacení uložena, povinen nahradit poškozenému též náklady potřebné k účelnému uplatnění tohoto nároku v trestním řízení, včetně nákladů vzniklých přibráním zmocněnce. </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154 odst. 2 trestního řádu v případě, že poškozenému nebyl přiznán nárok na náhradu škody nebo nemajetkové újmy v penězích nebo na vydání bezdůvodného obohacení ani zčásti, uloží soud na návrh poškozeného odsouzenému uhradit náklady související s účastí poškozeného v trestním řízení.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157a odst. 1 trestního řádu má poškozený právo kdykoliv v průběhu přípravného řízení žádat státního zástupce, aby byly odstraněny průtahy v řízení nebo závady v postupu policejního orgánu. Tato žádost není vázána lhůtou. O výsledku přezkoumání musí být žadatel vyrozuměn.</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160 odst. 2 trestního řádu může poškozený, jehož pobyt nebo sídlo jsou známé, požádat o opis usnesení o zahájení trestního stíhání.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i/>
          <w:iCs/>
          <w:sz w:val="18"/>
          <w:szCs w:val="18"/>
          <w:lang w:eastAsia="cs-CZ"/>
        </w:rPr>
        <w:t>Podle § 166 odst. 1 trestního řádu podá-li poškozený návrh podle § 43 odst. 3 trestního řádu, je mu umožněno po skončení vyšetřování prostudovat spisy a učinit návrhy na doplnění vyšetřování.</w:t>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Vyjádření poškozeného k poučení:</w:t>
      </w:r>
    </w:p>
    <w:p w:rsidR="00DA4458" w:rsidRPr="00DA4458" w:rsidRDefault="00DA4458" w:rsidP="00DA4458">
      <w:pPr>
        <w:spacing w:after="24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lang w:eastAsia="cs-CZ"/>
        </w:rPr>
        <w:br/>
      </w:r>
      <w:r w:rsidRPr="00DA4458">
        <w:rPr>
          <w:rFonts w:ascii="Arial" w:eastAsia="Times New Roman" w:hAnsi="Arial" w:cs="Arial"/>
          <w:lang w:eastAsia="cs-CZ"/>
        </w:rPr>
        <w:br/>
      </w:r>
      <w:r w:rsidRPr="00DA4458">
        <w:rPr>
          <w:rFonts w:ascii="Arial" w:eastAsia="Times New Roman" w:hAnsi="Arial" w:cs="Arial"/>
          <w:lang w:eastAsia="cs-CZ"/>
        </w:rPr>
        <w:br/>
      </w:r>
      <w:r w:rsidRPr="00DA4458">
        <w:rPr>
          <w:rFonts w:ascii="Arial" w:eastAsia="Times New Roman" w:hAnsi="Arial" w:cs="Arial"/>
          <w:lang w:eastAsia="cs-CZ"/>
        </w:rPr>
        <w:br/>
      </w:r>
      <w:r w:rsidRPr="00DA4458">
        <w:rPr>
          <w:rFonts w:ascii="Arial" w:eastAsia="Times New Roman" w:hAnsi="Arial" w:cs="Arial"/>
          <w:lang w:eastAsia="cs-CZ"/>
        </w:rPr>
        <w:br/>
      </w:r>
      <w:r w:rsidRPr="00DA4458">
        <w:rPr>
          <w:rFonts w:ascii="Arial" w:eastAsia="Times New Roman" w:hAnsi="Arial" w:cs="Arial"/>
          <w:lang w:eastAsia="cs-CZ"/>
        </w:rPr>
        <w:br/>
      </w:r>
    </w:p>
    <w:p w:rsidR="00DA4458" w:rsidRPr="00DA4458" w:rsidRDefault="00DA4458" w:rsidP="00DA4458">
      <w:pPr>
        <w:spacing w:before="120" w:after="0" w:line="240" w:lineRule="auto"/>
        <w:jc w:val="both"/>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 xml:space="preserve">Dle § 160/2 trestního řádu žádám - nežádám *) o opis usnesení o zahájení trestního stíhání. </w:t>
      </w:r>
    </w:p>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 xml:space="preserve">            </w:t>
      </w:r>
    </w:p>
    <w:tbl>
      <w:tblPr>
        <w:tblW w:w="0" w:type="auto"/>
        <w:tblInd w:w="5637" w:type="dxa"/>
        <w:tblCellMar>
          <w:left w:w="0" w:type="dxa"/>
          <w:right w:w="0" w:type="dxa"/>
        </w:tblCellMar>
        <w:tblLook w:val="04A0" w:firstRow="1" w:lastRow="0" w:firstColumn="1" w:lastColumn="0" w:noHBand="0" w:noVBand="1"/>
      </w:tblPr>
      <w:tblGrid>
        <w:gridCol w:w="3435"/>
      </w:tblGrid>
      <w:tr w:rsidR="00DA4458" w:rsidRPr="00DA4458" w:rsidTr="00DA4458">
        <w:tc>
          <w:tcPr>
            <w:tcW w:w="4140" w:type="dxa"/>
            <w:tcMar>
              <w:top w:w="0" w:type="dxa"/>
              <w:left w:w="108" w:type="dxa"/>
              <w:bottom w:w="0" w:type="dxa"/>
              <w:right w:w="108" w:type="dxa"/>
            </w:tcMar>
            <w:hideMark/>
          </w:tcPr>
          <w:p w:rsidR="00DA4458" w:rsidRPr="00DA4458" w:rsidRDefault="00DA4458" w:rsidP="00DA4458">
            <w:pPr>
              <w:spacing w:after="0" w:line="240" w:lineRule="auto"/>
              <w:jc w:val="center"/>
              <w:rPr>
                <w:rFonts w:ascii="Times New Roman" w:eastAsia="Times New Roman" w:hAnsi="Times New Roman" w:cs="Times New Roman"/>
                <w:sz w:val="24"/>
                <w:szCs w:val="24"/>
                <w:lang w:eastAsia="cs-CZ"/>
              </w:rPr>
            </w:pPr>
            <w:r w:rsidRPr="00DA4458">
              <w:rPr>
                <w:rFonts w:ascii="Arial" w:eastAsia="Times New Roman" w:hAnsi="Arial" w:cs="Arial"/>
                <w:b/>
                <w:bCs/>
                <w:lang w:eastAsia="cs-CZ"/>
              </w:rPr>
              <w:t>Poučení mi bylo řádně vysvětleno a beru je na vědomí</w:t>
            </w:r>
          </w:p>
        </w:tc>
      </w:tr>
      <w:tr w:rsidR="00DA4458" w:rsidRPr="00DA4458" w:rsidTr="00DA4458">
        <w:tc>
          <w:tcPr>
            <w:tcW w:w="4140" w:type="dxa"/>
            <w:tcMar>
              <w:top w:w="0" w:type="dxa"/>
              <w:left w:w="108" w:type="dxa"/>
              <w:bottom w:w="0" w:type="dxa"/>
              <w:right w:w="108" w:type="dxa"/>
            </w:tcMar>
            <w:hideMark/>
          </w:tcPr>
          <w:p w:rsidR="00DA4458" w:rsidRPr="00DA4458" w:rsidRDefault="00DA4458" w:rsidP="00DA4458">
            <w:pPr>
              <w:spacing w:after="0" w:line="240" w:lineRule="auto"/>
              <w:rPr>
                <w:rFonts w:ascii="Times New Roman" w:eastAsia="Times New Roman" w:hAnsi="Times New Roman" w:cs="Times New Roman"/>
                <w:sz w:val="24"/>
                <w:szCs w:val="24"/>
                <w:lang w:eastAsia="cs-CZ"/>
              </w:rPr>
            </w:pPr>
          </w:p>
        </w:tc>
      </w:tr>
    </w:tbl>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i/>
          <w:iCs/>
          <w:lang w:eastAsia="cs-CZ"/>
        </w:rPr>
        <w:t xml:space="preserve">                                                                                                   </w:t>
      </w:r>
      <w:r w:rsidRPr="00DA4458">
        <w:rPr>
          <w:rFonts w:ascii="Arial" w:eastAsia="Times New Roman" w:hAnsi="Arial" w:cs="Arial"/>
          <w:i/>
          <w:iCs/>
          <w:sz w:val="20"/>
          <w:szCs w:val="20"/>
          <w:lang w:eastAsia="cs-CZ"/>
        </w:rPr>
        <w:t>(jméno a příjmení oběti trestného činu)</w:t>
      </w:r>
    </w:p>
    <w:tbl>
      <w:tblPr>
        <w:tblW w:w="3685" w:type="dxa"/>
        <w:tblInd w:w="5495" w:type="dxa"/>
        <w:tblCellMar>
          <w:left w:w="0" w:type="dxa"/>
          <w:right w:w="0" w:type="dxa"/>
        </w:tblCellMar>
        <w:tblLook w:val="04A0" w:firstRow="1" w:lastRow="0" w:firstColumn="1" w:lastColumn="0" w:noHBand="0" w:noVBand="1"/>
      </w:tblPr>
      <w:tblGrid>
        <w:gridCol w:w="3685"/>
      </w:tblGrid>
      <w:tr w:rsidR="00DA4458" w:rsidRPr="00DA4458" w:rsidTr="00DA4458">
        <w:tc>
          <w:tcPr>
            <w:tcW w:w="3685" w:type="dxa"/>
            <w:tcMar>
              <w:top w:w="0" w:type="dxa"/>
              <w:left w:w="108" w:type="dxa"/>
              <w:bottom w:w="0" w:type="dxa"/>
              <w:right w:w="108" w:type="dxa"/>
            </w:tcMar>
            <w:hideMark/>
          </w:tcPr>
          <w:p w:rsidR="00DA4458" w:rsidRPr="00DA4458" w:rsidRDefault="00DA4458" w:rsidP="00DA4458">
            <w:pPr>
              <w:spacing w:after="0" w:line="240" w:lineRule="auto"/>
              <w:rPr>
                <w:rFonts w:ascii="Times New Roman" w:eastAsia="Times New Roman" w:hAnsi="Times New Roman" w:cs="Times New Roman"/>
                <w:sz w:val="24"/>
                <w:szCs w:val="24"/>
                <w:lang w:eastAsia="cs-CZ"/>
              </w:rPr>
            </w:pPr>
          </w:p>
        </w:tc>
      </w:tr>
      <w:tr w:rsidR="00DA4458" w:rsidRPr="00DA4458" w:rsidTr="00DA4458">
        <w:tc>
          <w:tcPr>
            <w:tcW w:w="3685" w:type="dxa"/>
            <w:tcMar>
              <w:top w:w="0" w:type="dxa"/>
              <w:left w:w="108" w:type="dxa"/>
              <w:bottom w:w="0" w:type="dxa"/>
              <w:right w:w="108" w:type="dxa"/>
            </w:tcMar>
            <w:hideMark/>
          </w:tcPr>
          <w:p w:rsidR="00DA4458" w:rsidRPr="00DA4458" w:rsidRDefault="00DA4458" w:rsidP="00DA4458">
            <w:pPr>
              <w:spacing w:after="0" w:line="240" w:lineRule="auto"/>
              <w:rPr>
                <w:rFonts w:ascii="Times New Roman" w:eastAsia="Times New Roman" w:hAnsi="Times New Roman" w:cs="Times New Roman"/>
                <w:sz w:val="20"/>
                <w:szCs w:val="20"/>
                <w:lang w:eastAsia="cs-CZ"/>
              </w:rPr>
            </w:pPr>
          </w:p>
        </w:tc>
      </w:tr>
    </w:tbl>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sz w:val="14"/>
          <w:szCs w:val="14"/>
          <w:lang w:eastAsia="cs-CZ"/>
        </w:rPr>
        <w:t> </w:t>
      </w:r>
    </w:p>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sz w:val="14"/>
          <w:szCs w:val="14"/>
          <w:lang w:eastAsia="cs-CZ"/>
        </w:rPr>
        <w:t> </w:t>
      </w:r>
    </w:p>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sz w:val="14"/>
          <w:szCs w:val="14"/>
          <w:lang w:eastAsia="cs-CZ"/>
        </w:rPr>
        <w:t xml:space="preserve">*) Nehodící se škrtněte </w:t>
      </w:r>
    </w:p>
    <w:p w:rsidR="00DA4458" w:rsidRPr="00DA4458" w:rsidRDefault="00DA4458" w:rsidP="00DA4458">
      <w:pPr>
        <w:spacing w:after="0" w:line="240" w:lineRule="auto"/>
        <w:rPr>
          <w:rFonts w:ascii="Times New Roman" w:eastAsia="Times New Roman" w:hAnsi="Times New Roman" w:cs="Times New Roman"/>
          <w:sz w:val="24"/>
          <w:szCs w:val="24"/>
          <w:lang w:eastAsia="cs-CZ"/>
        </w:rPr>
      </w:pPr>
      <w:r w:rsidRPr="00DA4458">
        <w:rPr>
          <w:rFonts w:ascii="Arial" w:eastAsia="Times New Roman" w:hAnsi="Arial" w:cs="Arial"/>
          <w:lang w:eastAsia="cs-CZ"/>
        </w:rPr>
        <w:t> </w:t>
      </w:r>
    </w:p>
    <w:p w:rsidR="00AA6443" w:rsidRDefault="00AA6443">
      <w:bookmarkStart w:id="0" w:name="_GoBack"/>
      <w:bookmarkEnd w:id="0"/>
    </w:p>
    <w:sectPr w:rsidR="00AA6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458"/>
    <w:rsid w:val="003B6821"/>
    <w:rsid w:val="00AA6443"/>
    <w:rsid w:val="00DA44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6538A0-4D7C-46D4-8629-95B534451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67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aspi://module='ASPI'&amp;link='40/2009%20Sb.%2523196'&amp;ucin-k-dni='30.12.9999'"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2103</Words>
  <Characters>12412</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KRÁLOVÁ Markéta</dc:creator>
  <cp:keywords/>
  <dc:description/>
  <cp:lastModifiedBy>KRÁLOVÁ Markéta</cp:lastModifiedBy>
  <cp:revision>1</cp:revision>
  <dcterms:created xsi:type="dcterms:W3CDTF">2019-01-10T08:36:00Z</dcterms:created>
  <dcterms:modified xsi:type="dcterms:W3CDTF">2019-01-10T08:36:00Z</dcterms:modified>
</cp:coreProperties>
</file>