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547" w:rsidRPr="00D05547" w:rsidRDefault="00D05547" w:rsidP="00D05547">
      <w:pPr>
        <w:spacing w:before="120" w:after="120" w:line="240" w:lineRule="auto"/>
        <w:jc w:val="center"/>
        <w:rPr>
          <w:rFonts w:ascii="Times New Roman" w:eastAsia="Times New Roman" w:hAnsi="Times New Roman" w:cs="Times New Roman"/>
          <w:b/>
          <w:bCs/>
          <w:spacing w:val="29"/>
          <w:sz w:val="32"/>
          <w:szCs w:val="32"/>
          <w:lang w:eastAsia="cs-CZ"/>
        </w:rPr>
      </w:pPr>
      <w:r w:rsidRPr="00D05547">
        <w:rPr>
          <w:rFonts w:ascii="Arial" w:eastAsia="Times New Roman" w:hAnsi="Arial" w:cs="Arial"/>
          <w:b/>
          <w:bCs/>
          <w:sz w:val="28"/>
          <w:szCs w:val="28"/>
          <w:lang w:eastAsia="cs-CZ"/>
        </w:rPr>
        <w:t>Poučení poškozeného - oběti trestného činu v trestním řízení</w:t>
      </w:r>
    </w:p>
    <w:p w:rsidR="00D05547" w:rsidRPr="00D05547" w:rsidRDefault="00D05547" w:rsidP="00D05547">
      <w:pPr>
        <w:spacing w:after="0" w:line="240" w:lineRule="auto"/>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 xml:space="preserve">V trestní věci </w:t>
      </w:r>
      <w:r w:rsidRPr="00D05547">
        <w:rPr>
          <w:rFonts w:ascii="Arial" w:eastAsia="Times New Roman" w:hAnsi="Arial" w:cs="Arial"/>
          <w:lang w:eastAsia="cs-CZ"/>
        </w:rPr>
        <w:t>Metodická příručka - statistiky</w:t>
      </w:r>
      <w:r w:rsidRPr="00D05547">
        <w:rPr>
          <w:rFonts w:ascii="Arial" w:eastAsia="Times New Roman" w:hAnsi="Arial" w:cs="Arial"/>
          <w:lang w:eastAsia="cs-CZ"/>
        </w:rPr>
        <w:br/>
        <w:t xml:space="preserve">proti </w:t>
      </w:r>
      <w:r w:rsidRPr="00D05547">
        <w:rPr>
          <w:rFonts w:ascii="Arial" w:eastAsia="Times New Roman" w:hAnsi="Arial" w:cs="Arial"/>
          <w:b/>
          <w:bCs/>
          <w:lang w:eastAsia="cs-CZ"/>
        </w:rPr>
        <w:t>.....................................................</w:t>
      </w:r>
      <w:r w:rsidRPr="00D05547">
        <w:rPr>
          <w:rFonts w:ascii="Arial" w:eastAsia="Times New Roman" w:hAnsi="Arial" w:cs="Arial"/>
          <w:lang w:eastAsia="cs-CZ"/>
        </w:rPr>
        <w:br/>
        <w:t>pro .............................. ..............................</w:t>
      </w:r>
      <w:r w:rsidRPr="00D05547">
        <w:rPr>
          <w:rFonts w:ascii="Arial" w:eastAsia="Times New Roman" w:hAnsi="Arial" w:cs="Arial"/>
          <w:lang w:eastAsia="cs-CZ"/>
        </w:rPr>
        <w:br/>
        <w:t xml:space="preserve">podle </w:t>
      </w:r>
      <w:r w:rsidRPr="00D05547">
        <w:rPr>
          <w:rFonts w:ascii="Arial" w:eastAsia="Times New Roman" w:hAnsi="Arial" w:cs="Arial"/>
          <w:b/>
          <w:bCs/>
          <w:lang w:eastAsia="cs-CZ"/>
        </w:rPr>
        <w:t>§ ..............................</w:t>
      </w:r>
      <w:r w:rsidRPr="00D05547">
        <w:rPr>
          <w:rFonts w:ascii="Arial" w:eastAsia="Times New Roman" w:hAnsi="Arial" w:cs="Arial"/>
          <w:lang w:eastAsia="cs-CZ"/>
        </w:rPr>
        <w:t xml:space="preserve"> trestního zákoníku</w:t>
      </w:r>
    </w:p>
    <w:p w:rsidR="00D05547" w:rsidRPr="00D05547" w:rsidRDefault="00D05547" w:rsidP="00D05547">
      <w:pPr>
        <w:spacing w:before="240" w:after="0" w:line="240" w:lineRule="auto"/>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Poučení poškozeného podle  zákona č. 59/2017 Sb., o použití peněžních prostředků z majetkových trestních sankcí: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8 odst. 1 zákona č. 59/2017 Sb., o použití peněžních prostředků z majetkových trestních sankcí uložených v trestním řízení, může poškozený</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který v trestním řízení, ve kterém byla pravomocně uložena majetková trestní sankce nebo ve kterém si soud rozhodnutí o uložení majetkové trestní sankce vyhradil do veřejného zasedání podle § 230 odst. 2 nebo 3 trestního řádu, uplatnil majetkový nárok a tento nárok mu byl přiznán rozhodnutím soudu vydaným v trestním řízení, které nabylo právní moci a je vykonatelné, nebo uplatnil majetkový nárok a byl s tímto nárokem, byť jen zčásti, pravomocným rozhodnutím soudu vydaným v trestním řízení odkázán na řízení ve věcech občanskoprávních, nebo</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 o jehož majetkovém nároku pravomocně rozhodl soud v řízení ve věcech občanskoprávních, pokud v trestním řízení o trestném činu, v důsledku jehož spáchání mu tento nárok vznikl, byla uložena majetková trestní sankce nebo si soud rozhodnutí o uložení majetkové trestní sankce vyhradil do veřejného zasedání podle § 230 odst. 2 nebo 3 trestního řádu, nebo </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vůči němuž má pachatel pravomocným a vykonatelným rozhodnutím soudu v řízení ve věcech občanskoprávních stanovenou výši vyživovací povinnosti, pokud v řízení o trestném činu zanedbání povinné výživy byla pravomocně uložena majetková trestní sankce,</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podat Ministerstvu spravedlnosti České republiky žádost o uspokojení majetkového nároku. Žádost musí být podána do 60 dnů od nabytí právní moci trestního příkazu nebo odsuzujícího rozsudku vydaného soudem v trestním řízení o trestném činu, v důsledku jehož spáchání vznikl oprávněné osobě majetkový nárok, nebo do 60 dnů od nabytí právní moci rozhodnutí vydaného soudem v řízení ve věcech občanskoprávních, kterým byl oprávněné osobě přiznán její majetkový nárok. Po uplynutí této lhůty právo na uspokojení majetkového nároku ze zvláštního účtu zaniká.</w:t>
      </w:r>
    </w:p>
    <w:p w:rsidR="00D05547" w:rsidRPr="00D05547" w:rsidRDefault="00D05547" w:rsidP="00D05547">
      <w:pPr>
        <w:spacing w:before="24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Poučení poškozeného podle zákona č. 141/1961 Sb., trestní řád:</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43 odst. 1 trestního řádu ten, komu bylo trestným činem ublíženo na zdraví, způsobena majetková nebo nemajetková újma, nebo na jehož úkor se pachatel trestným činem obohatil (poškozený), má právo činit návrhy na doplnění dokazování, nahlížet do spisů, činit si výpisky a poznámky a na svoje náklady pořizovat kopie spisů a jejich částí (§ 65 trestního řádu), zúčastnit se sjednávání dohody o vině a trestu, zúčastnit se hlavního líčení a veřejného zasedání konaného o odvolání nebo o schválení dohody o vině a trestu a před skončením řízení se k věci vyjádřit. Jde-li o trestný čin zanedbání povinné výživy (</w:t>
      </w:r>
      <w:hyperlink r:id="rId4" w:history="1">
        <w:r w:rsidRPr="00D05547">
          <w:rPr>
            <w:rFonts w:ascii="Arial" w:eastAsia="Times New Roman" w:hAnsi="Arial" w:cs="Arial"/>
            <w:i/>
            <w:iCs/>
            <w:color w:val="000000"/>
            <w:sz w:val="18"/>
            <w:szCs w:val="18"/>
            <w:lang w:eastAsia="cs-CZ"/>
          </w:rPr>
          <w:t>§ 196 trestního zákoníku</w:t>
        </w:r>
      </w:hyperlink>
      <w:r w:rsidRPr="00D05547">
        <w:rPr>
          <w:rFonts w:ascii="Arial" w:eastAsia="Times New Roman" w:hAnsi="Arial" w:cs="Arial"/>
          <w:i/>
          <w:iCs/>
          <w:sz w:val="18"/>
          <w:szCs w:val="18"/>
          <w:lang w:eastAsia="cs-CZ"/>
        </w:rPr>
        <w:t>), rozumí se pro účely tohoto zákona majetkovou škodou, jež byla poškozenému způsobena trestným činem, i dlužné výživné.</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43 odst. 2 trestního řádu se za poškozeného nepovažuje ten, kdo se sice cítí být trestným činem morálně nebo jinak poškozen, avšak vzniklá újma není způsobena zaviněním pachatele nebo její vznik není v příčinné souvislosti s trestným činem.</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43 odst. 3 trestního řádu jste jako poškozený oprávněn také navrhnout, aby soud v odsuzujícím rozsudku uložil obžalovanému povinnost nahradit v penězích škodu nebo nemajetkovou újmu, jež byla poškozenému trestným činem způsobena, nebo vydat bezdůvodné obohacení, které obžalovaný na jeho úkor trestným činem získal. Návrh je třeba učinit nejpozději u hlavního líčení před zahájením dokazování (§ 206 odst. 2); je-li sjednána dohoda o vině a trestu, je třeba návrh učinit nejpozději při prvním jednání o takové dohodě (§ 175a odst. 2). Z návrhu musí být patrno, z jakých důvodů a v jaké výši se nárok na náhradu škody nebo nemajetkové újmy uplatňuje nebo z jakých důvodů a v jakém rozsahu se uplatňuje nárok na vydání bezdůvodného obohacení. Důvod a výši škody, nemajetkové újmy nebo bezdůvodného obohacení jste povinen doložit. Podle § 44 odst. 3 trestního řádu návrh nelze podat, bylo-li o nároku již rozhodnuto v občanskoprávním nebo jiném příslušném řízení.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43 odst. 4 trestního řádu jste-li obětí trestného činu podle zákona o obětech (§ 22 zákona o obětech trestných činů), máte právo v kterémkoliv stádiu trestního řízení učinit prohlášení o tom, jaký dopad měl spáchaný trestný čin na Váš dosavadní život. Prohlášení lze učinit i písemně.</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43 odst. 5 trestního řádu se můžete výslovným prohlášením sděleným orgánu činnému v trestním řízení vzdát procesních práv, které Vám tento zákon jako poškozenému přiznává.</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44 odst. 1 trestního řádu oprávnění poškozeného nemůže vykonávat ten, kdo je v trestním řízení stíhán jako spoluobviněný.</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Podle § 44 odst. 2 trestního řádu je-li počet poškozených mimořádně vysoký a jednotlivým výkonem jejich práv by mohl být ohrožen rychlý průběh trestního stíhání, rozhodne předseda senátu a v přípravném řízení na návrh státního zástupce soudce, že poškození mohou svá práva v trestním řízení uplatňovat pouze prostřednictvím společného zmocněnce, kterého si zvolí. Jestliže by celkový počet zvolených zmocněnců vzrostl na více než šest </w:t>
      </w:r>
      <w:r w:rsidRPr="00D05547">
        <w:rPr>
          <w:rFonts w:ascii="Arial" w:eastAsia="Times New Roman" w:hAnsi="Arial" w:cs="Arial"/>
          <w:i/>
          <w:iCs/>
          <w:sz w:val="18"/>
          <w:szCs w:val="18"/>
          <w:lang w:eastAsia="cs-CZ"/>
        </w:rPr>
        <w:lastRenderedPageBreak/>
        <w:t>a poškození se mezi sebou o výběru nedohodnou, provede výběr s přihlédnutím k zájmům poškozených soud. Společný zmocněnec vykonává práva poškozených, které zastupuje, včetně uplatnění nároku na náhradu škody v trestním řízení.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45 odst. 1 trestního řádu není-li poškozený osobou plně svéprávnou nebo je-li omezen na svéprávnosti, vykonává jeho práva podle tohoto zákona jeho zákonný zástupce nebo opatrovník. V případě, že je nebezpečí z prodlení a zákonný zástupce nebo opatrovník nemůže vykonávat svá práva uvedená ve větě první nebo nebyl-li opatrovník ustanoven, ačkoli jsou dány důvody pro jeho ustanovení, je třeba opatrovníka neprodleně ustanovit.</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45 odst. 2 trestního řádu opatrovníka ustanovuje předseda senátu a v přípravném řízení státní zástupce. Jinou osobu než advokáta lze ustanovit opatrovníkem jen s jejím souhlasem.</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45 odst. 3 trestního řádu jde-li o uplatnění nároku na náhradu škody nebo na vydání bezdůvodného obohacení (§ 43 odst. 3 trestního řádu), přecházejí práva, která tento zákon přiznává poškozenému, i na jeho právního nástupce.</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45a trestního řádu se poškozenému veškeré písemnosti doručují na adresu, kterou uvede. Má-li zmocněnce, doručuje se pouze jemu, to neplatí, pokud se poškozenému zasílá výzva, aby osobně něco vykonal.</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46 trestního řádu může poškozený žádat o uspokojení nároku na náhradu škody nebo nemajetkové újmy způsobené trestným činem nebo na vydání bezdůvodného obohacení získaného trestným činem podle zákona o použití peněžních prostředků z majetkových trestních sankcí. Je-li vedeno řízení pro trestný čin, u něhož lze sjednat dohodu o vině a trestu, může dojít k sjednání dohody o vině a trestu a v takovémto případě může poškozený uplatnit nárok na náhradu škody nebo nemajetkové újmy v penězích nebo na vydání bezdůvodného obohacení nejpozději při prvním jednání o takové dohodě.</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47 odst. 1 trestního řádu, byla-li poškozenému způsobena trestným činem škoda nebo nemajetková újma, nebo získal-li obviněný takovým trestným činem na jeho úkor bezdůvodné obohacení, lze nárok až do pravděpodobné výše škody nebo nemajetkové újmy nebo až do pravděpodobného rozsahu bezdůvodného obohacení zajistit na majetku obviněného. Zajišťovat nelze nárok, který nelze v trestním řízení uplatnit. K zajištění nelze užít majetek, který je podle zvláštního právního předpisu vyloučen z výkonu rozhodnutí o zajištění.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47 odst. 2 trestního řádu, o zajištění podle odst. 1 rozhoduje soud na návrh státního zástupce nebo poškozeného, v přípravném řízení státní zástupce na návrh poškozeného. V přípravném řízení může státní zástupce nárok zajistit i bez návrhu poškozeného, vyžaduje-li to ochrana jeho zájmů, zejména hrozí-li nebezpečí z prodlení.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47 odst. 3 trestního řádu, pokud je poškozenému známo, že obviněný je vlastníkem nemovité věci nebo má některou movitou věc umístěnou mimo jeho trvalého nebo jiného pobytu, uvede podle možnosti již v návrhu na zajištění svého nároku na náhradu škody nebo nemajetkové újmy nebo na vydání bezdůvodného obohacení, kde taková věc je.</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50 odst. 1 trestního řádu se může poškozený dát zastupovat zmocněncem, kterým může být i právnická osoba. Zmocněnec poškozeného může být současně důvěrníkem podle zákona o obětech trestných činů.</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50 odst. 2 trestního řádu je-li zmocněnec poškozeného fyzická osoba, nesmí jím být osoba, která není plně svéprávná nebo její svéprávnost je omezena; při hlavním líčení a veřejném zasedání nemůže být zmocněncem ten, kdo je k němu předvolán jako svědek, znalec nebo tlumočník.</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51 odst. 1 trestního řádu je zmocněnec poškozeného oprávněn činit za poškozeného návrhy a podávat za něj žádosti a opravné prostředky; je též oprávněn zúčastnit se všech úkonů, kterých se může zúčastnit poškozený.</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51 odst. 2 trestního řádu je zmocněnec poškozeného oprávněn být již od zahájení trestního stíhání při vyšetřovacích úkonech, jimiž se mají objasnit skutečnosti důležité pro uplatnění práv osob, které zastupuje, a jejichž výsledek může být použit jako důkaz v řízení před soudem, ledaže by přítomností zmocněnce mohl být zmařen účel trestního řízení nebo nelze provedení úkonu odložit a vyrozumění o něm zajistit. Může obviněnému i jiným vyslýchaným osobám klást otázky, avšak teprve tehdy, až policejní orgán výslech skončí a udělí mu k tomu slovo. Námitky proti způsobu provádění úkonu může vznášet kdykoliv v jeho průběhu.</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Podle § 51a odst. 1 trestního řádu osvědčí-li poškozený, </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a) kterému byla úmyslným trestným činem způsobena těžká újma na zdraví,</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b) který je pozůstalým po oběti, které byla trestným činem způsobena smrt,</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že nemá dostatek prostředků na uhrazení nákladů vzniklých přibráním zmocněnce, rozhodne na jeho návrh předseda senátu soudu, který koná řízení v prvním stupni, a v přípravném řízení soudce, že má nárok na právní pomoc poskytovanou zmocněncem bezplatně nebo za sníženou odměnu.</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51a odst. 2 trestního řádu mají poškozený mladší než osmnáct let a zvlášť zranitelná oběť podle zákona o obětech trestných činů, vždy nárok na bezplatné zastupování zmocněncem, nejde-li o trestný čin zanedbání povinné výživy (§ 196 trestního zákoníku).</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51a odst. 3 trestního řádu návrh na rozhodnutí podle odst. 1 podává poškozený v přípravném řízení prostřednictvím státního zástupce a v řízení před soudem příslušnému soudu, který věc projednává.</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51a odst. 4 trestního řádu pokud si poškozený sám zmocněnce nezvolí, za podmínek uvedených v odst. 1 a 2, je mu předsedou senátu nebo soudcem ustanoven advokát.</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Poškozený, který má nárok na ustanovení zmocněnce, může podle § 151a odst. 1 trestního řádu žádat, aby předseda senátu a v přípravném řízení státní zástupce rozhodl o tom, že stát ponese náklady na znalecký posudek, </w:t>
      </w:r>
      <w:r w:rsidRPr="00D05547">
        <w:rPr>
          <w:rFonts w:ascii="Arial" w:eastAsia="Times New Roman" w:hAnsi="Arial" w:cs="Arial"/>
          <w:i/>
          <w:iCs/>
          <w:sz w:val="18"/>
          <w:szCs w:val="18"/>
          <w:lang w:eastAsia="cs-CZ"/>
        </w:rPr>
        <w:lastRenderedPageBreak/>
        <w:t xml:space="preserve">který poškozený vyžádá. Žádosti nelze vyhovět, jestliže takový důkaz není pro objasnění věci zřejmě potřebný nebo stejný úkon k prokázání téže skutečnosti již vyžádal orgán činný v trestním řízení.       </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55 odst. 1 písm. c) trestního řádu jsou na žádost poškozeného, oběti (§ 16 zákona o obětech trestných činů), jeho zákonného zástupce, opatrovníka, zmocněnce a dalších osob vyjmenovaných zákonem vedeny údaje o bydlišti a doručovací adrese, o místě výkonu zaměstnání či povolání nebo podnikání a o osobních, rodinných a majetkových poměrech tak, aby se s nimi mohli seznamovat pouze orgány činné v trestním řízení, policisté a Probační a mediační služba, není-li to nezbytné pro dosažení účelu trestního řízení nebo pro řádné uplatnění práva na obhajobu osoby, proti níž se trestní řízení vede.</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65 odst. 1 trestního řádu má poškozený a zmocněnec právo nahlížet do spisů, s výjimkou protokolu o hlasování, údajů osob podle § 55 odst. 1 písmene c) a osobních údajů svědka podle § 55 odst. 2 trestního řádu, činit si z nich výpisky a poznámky a pořizovat si na své náklady kopie spisů a jejich částí. Totéž právo má zákonný zástupce a opatrovník poškozeného, který není plně svéprávný nebo je-li jeho svéprávnost omezena.</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65 odst. 2 trestního řádu může v přípravném řízení státní zástupce nebo policejní orgán právo nahlédnout do spisů a spolu s tím ostatní práva uvedená v § 65 odstavci 1 trestního řádu ze závažných důvodů odepřít. Závažnost důvodů, ze kterých tato práva odepřel policejní orgán, je na žádost osoby, jíž se odepření týká, státní zástupce povinen urychleně přezkoumat.</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154 odst. 1 trestního řádu byl-li poškozenému alespoň částečně přiznán nárok na náhradu škody nebo nemajetkové újmy v penězích nebo na vydání bezdůvodného obohacení, je odsouzený, jemuž byla povinnost k náhradě škody nebo nemajetkové újmy v penězích nebo k vydání bezdůvodného obohacení uložena, povinen nahradit poškozenému též náklady potřebné k účelnému uplatnění tohoto nároku v trestním řízení, včetně nákladů vzniklých přibráním zmocněnce.</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154 odst. 2 trestního řádu v případě, že poškozenému nebyl přiznán nárok na náhradu škody nebo nemajetkové újmy v penězích nebo na vydání bezdůvodného obohacení ani zčásti, uloží soud na návrh poškozeného odsouzenému uhradit náklady související s účastí poškozeného v trestním řízení.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157a odst. 1 trestního řádu má poškozený právo kdykoliv v průběhu přípravného řízení žádat státního zástupce, aby byly odstraněny průtahy v řízení nebo závady v postupu policejního orgánu. Tato žádost není vázána lhůtou. O výsledku přezkoumání musí být žadatel vyrozuměn.</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160 odst. 2 trestního řádu může poškozený, jehož pobyt nebo sídlo jsou známé, požádat o opis usnesení o zahájení trestního stíhání.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166 odst. 1 trestního řádu podá-li poškozený návrh podle § 43 odst. 3 trestního řádu, je mu umožněno po skončení vyšetřování prostudovat spisy a učinit návrhy na doplnění vyšetřování.</w:t>
      </w:r>
    </w:p>
    <w:p w:rsidR="00D05547" w:rsidRPr="00D05547" w:rsidRDefault="00D05547" w:rsidP="00D05547">
      <w:pPr>
        <w:spacing w:before="24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Poučení oběti trestného činu podle zákona č. 45/2013 Sb., o obětech trestných činů (ZOTČ):</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3 odst. 1 ZOTČ každou osobu, která se cítí být obětí spáchaného trestného činu, je třeba považovat za oběť, nevyjde-li najevo opak.</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3 odst. 4 ZOTČ jsou Policie ČR, orgány činné v trestním řízení a subjekty zapsané v registru poskytovatelů povinny srozumitelným způsobem informovat oběť o jejích právech a umožnit jí jejich plné uplatnění. Na žádost oběti jsou tak povinny učinit i opakovaně.</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7 ZOTČ má oběť právo na přístup k informacím v zákonem stanoveném rozsahu ve věci, v níž se stala obětí trestného činu.</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11 odst. 1 ZOTČ na žádost</w:t>
      </w:r>
      <w:r w:rsidRPr="00D05547">
        <w:rPr>
          <w:rFonts w:ascii="Arial" w:eastAsia="Times New Roman" w:hAnsi="Arial" w:cs="Arial"/>
          <w:b/>
          <w:bCs/>
          <w:i/>
          <w:iCs/>
          <w:sz w:val="18"/>
          <w:szCs w:val="18"/>
          <w:lang w:eastAsia="cs-CZ"/>
        </w:rPr>
        <w:t xml:space="preserve"> </w:t>
      </w:r>
      <w:r w:rsidRPr="00D05547">
        <w:rPr>
          <w:rFonts w:ascii="Arial" w:eastAsia="Times New Roman" w:hAnsi="Arial" w:cs="Arial"/>
          <w:i/>
          <w:iCs/>
          <w:sz w:val="18"/>
          <w:szCs w:val="18"/>
          <w:lang w:eastAsia="cs-CZ"/>
        </w:rPr>
        <w:t>oběti jí poskytne příslušný orgán činný v trestním řízení:</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a) informaci, že trestní řízení nebylo zahájeno, </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b) informaci o stavu trestního řízení, s výjimkou případů, kdy by tato informace mohla ohrozit dosažení účelu trestního řízení, </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c) informaci o skutku, ze kterého je osoba, proti níž se řízení vede, obviněna, včetně jeho právní kvalifikace, </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d) informaci o době a místě konání veřejného projednání věci v řízení před soudem,</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e) pravomocné rozhodnutí, kterým se trestní řízení končí.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11 odst. 3 ZOTČ může oběť podat žádost o poskytnutí informací souvisejících s pobytem obviněného nebo odsouzeného na svobodě. Tato žádost se podává v přípravném řízení policejnímu orgánu nebo státnímu zástupci a v řízení před soudem soudu.</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17 odst. 1 ZOTČ oběť a osoba jí blízká mají právo požádat v kterémkoliv stadiu trestního řízení, popřípadě i před jeho zahájením, aby byla při úkonech, kterých se účastní, učiněna potřebná opatření k zabránění jejich kontaktu s osobou, kterou oběť označila za pachatele, která je podezřelá ze spáchání trestného činu, nebo proti níž se vede trestní řízení.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17 odst. 2 ZOTČ žádosti podle odst. 1 jsou příslušné orgány povinny vyhovět, pokud se jedná o zvlášť zranitelnou oběť a nevylučuje to povaha prováděného úkonu.</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18 odst. 1 ZOTČ musí být otázky směřující do intimní oblasti kladeny pouze tehdy, je-li to nezbytné pro objasnění skutečností důležitých pro trestní řízení.</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18 odst. 2 ZOTČ má oběť právo kdykoliv podat námitku proti zaměření otázky. O důvodnosti námitky, která se poznamená do protokolu, rozhoduje vyslýchající orgán.</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lastRenderedPageBreak/>
        <w:t xml:space="preserve">Podle § 19 ZOTČ může oběť žádat, aby byla v přípravném řízení vyslechnuta osobou stejného nebo opačného pohlaví. Žádosti zvlášť zranitelné oběti je nutné vyhovět, nebrání-li tomu důležité důvody. Důvody k zamítnutí žádosti se poznamenají do protokolu. </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Podle § 19 odst. 2 ZOTČ může zvlášť zranitelná oběť žádat o tlumočení osobou stejného nebo opačného pohlaví. Tomuto je nutno vyhovět, ledaže nelze provedení úkonu odložit nebo tlumočníka požadovaného pohlaví zajistit. </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 xml:space="preserve">Podle § 20 ZOTČ je podání vysvětlení a výslech zvlášť zranitelných obětí prováděn citlivě, vyškolenou osobou, tak, aby nemusel být později opakován; je-li to technicky možné, za využití audiovizuální techniky nebo speciálních výslechových místností. </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21 odst. 1 ZOTČ  má oběť právo</w:t>
      </w:r>
      <w:r w:rsidRPr="00D05547">
        <w:rPr>
          <w:rFonts w:ascii="Arial" w:eastAsia="Times New Roman" w:hAnsi="Arial" w:cs="Arial"/>
          <w:b/>
          <w:bCs/>
          <w:i/>
          <w:iCs/>
          <w:sz w:val="18"/>
          <w:szCs w:val="18"/>
          <w:lang w:eastAsia="cs-CZ"/>
        </w:rPr>
        <w:t xml:space="preserve"> </w:t>
      </w:r>
      <w:r w:rsidRPr="00D05547">
        <w:rPr>
          <w:rFonts w:ascii="Arial" w:eastAsia="Times New Roman" w:hAnsi="Arial" w:cs="Arial"/>
          <w:i/>
          <w:iCs/>
          <w:sz w:val="18"/>
          <w:szCs w:val="18"/>
          <w:lang w:eastAsia="cs-CZ"/>
        </w:rPr>
        <w:t>na doprovod důvěrníkem.</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21 odst. 2 ZOTČ důvěrníkem může být fyzická osoba způsobilá k právním úkonům, kterou si oběť zvolí. Důvěrník poskytuje oběti potřebnou, zejména psychickou pomoc. Důvěrník může být zároveň zmocněncem oběti. Důvěrníkem nemůže být osoba, která má v trestním řízení postavení obviněného, obhájce, svědka, znalce nebo tlumočníka.</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21 odst. 3 ZOTČ důvěrník nemůže zasahovat do průběhu úkonu.</w:t>
      </w:r>
    </w:p>
    <w:p w:rsidR="00D05547" w:rsidRPr="00D05547" w:rsidRDefault="00D05547" w:rsidP="00D05547">
      <w:pPr>
        <w:spacing w:before="6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i/>
          <w:iCs/>
          <w:sz w:val="18"/>
          <w:szCs w:val="18"/>
          <w:lang w:eastAsia="cs-CZ"/>
        </w:rPr>
        <w:t>Podle § 21 odst. 4 ZOTČ lze důvěrníka vyloučit z účasti na úkonu, pokud jeho účast narušuje průběh úkonu nebo ohrožuje dosažení účelu úkonu. Je nutné umožnit oběti zvolení jiného důvěrníka, ledaže uvedený úkon nelze odložit nebo by jeho odložení bylo spjato s nepřiměřenými obtížemi nebo náklady.</w:t>
      </w:r>
    </w:p>
    <w:p w:rsidR="00D05547" w:rsidRPr="00D05547" w:rsidRDefault="00D05547" w:rsidP="00D05547">
      <w:pPr>
        <w:spacing w:before="12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Vyjádření poškozeného k poučení:</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lang w:eastAsia="cs-CZ"/>
        </w:rPr>
        <w:t>..........................................................................................................................................</w:t>
      </w:r>
    </w:p>
    <w:p w:rsidR="00D05547" w:rsidRPr="00D05547" w:rsidRDefault="00D05547" w:rsidP="00D05547">
      <w:pPr>
        <w:spacing w:before="12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Dle § 160/2 trestního řádu žádám - nežádám *) o opis usnesení o zahájení trestního stíhání.</w:t>
      </w:r>
    </w:p>
    <w:p w:rsidR="00D05547" w:rsidRPr="00D05547" w:rsidRDefault="00D05547" w:rsidP="00D05547">
      <w:pPr>
        <w:spacing w:before="120"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Prohlášení oběti o dopadu trestného činu na její život:</w:t>
      </w:r>
    </w:p>
    <w:p w:rsidR="00D05547" w:rsidRPr="00D05547" w:rsidRDefault="00D05547" w:rsidP="00D05547">
      <w:pPr>
        <w:spacing w:after="0" w:line="240" w:lineRule="auto"/>
        <w:jc w:val="both"/>
        <w:rPr>
          <w:rFonts w:ascii="Times New Roman" w:eastAsia="Times New Roman" w:hAnsi="Times New Roman" w:cs="Times New Roman"/>
          <w:sz w:val="24"/>
          <w:szCs w:val="24"/>
          <w:lang w:eastAsia="cs-CZ"/>
        </w:rPr>
      </w:pPr>
      <w:r w:rsidRPr="00D05547">
        <w:rPr>
          <w:rFonts w:ascii="Arial" w:eastAsia="Times New Roman" w:hAnsi="Arial" w:cs="Arial"/>
          <w:lang w:eastAsia="cs-CZ"/>
        </w:rPr>
        <w:t>..........................................................................................................................................</w:t>
      </w:r>
    </w:p>
    <w:p w:rsidR="00D05547" w:rsidRPr="00D05547" w:rsidRDefault="00D05547" w:rsidP="00D05547">
      <w:pPr>
        <w:spacing w:after="0" w:line="240" w:lineRule="auto"/>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 xml:space="preserve">            </w:t>
      </w:r>
    </w:p>
    <w:tbl>
      <w:tblPr>
        <w:tblW w:w="0" w:type="auto"/>
        <w:tblInd w:w="5637" w:type="dxa"/>
        <w:tblCellMar>
          <w:left w:w="0" w:type="dxa"/>
          <w:right w:w="0" w:type="dxa"/>
        </w:tblCellMar>
        <w:tblLook w:val="04A0" w:firstRow="1" w:lastRow="0" w:firstColumn="1" w:lastColumn="0" w:noHBand="0" w:noVBand="1"/>
      </w:tblPr>
      <w:tblGrid>
        <w:gridCol w:w="3435"/>
      </w:tblGrid>
      <w:tr w:rsidR="00D05547" w:rsidRPr="00D05547" w:rsidTr="00D05547">
        <w:tc>
          <w:tcPr>
            <w:tcW w:w="4140" w:type="dxa"/>
            <w:tcMar>
              <w:top w:w="0" w:type="dxa"/>
              <w:left w:w="108" w:type="dxa"/>
              <w:bottom w:w="0" w:type="dxa"/>
              <w:right w:w="108" w:type="dxa"/>
            </w:tcMar>
            <w:hideMark/>
          </w:tcPr>
          <w:p w:rsidR="00D05547" w:rsidRPr="00D05547" w:rsidRDefault="00D05547" w:rsidP="00D05547">
            <w:pPr>
              <w:spacing w:after="0" w:line="240" w:lineRule="auto"/>
              <w:jc w:val="center"/>
              <w:rPr>
                <w:rFonts w:ascii="Times New Roman" w:eastAsia="Times New Roman" w:hAnsi="Times New Roman" w:cs="Times New Roman"/>
                <w:sz w:val="24"/>
                <w:szCs w:val="24"/>
                <w:lang w:eastAsia="cs-CZ"/>
              </w:rPr>
            </w:pPr>
            <w:r w:rsidRPr="00D05547">
              <w:rPr>
                <w:rFonts w:ascii="Arial" w:eastAsia="Times New Roman" w:hAnsi="Arial" w:cs="Arial"/>
                <w:b/>
                <w:bCs/>
                <w:lang w:eastAsia="cs-CZ"/>
              </w:rPr>
              <w:t>Poučení mi bylo řádně vysvětleno a beru je na vědomí</w:t>
            </w:r>
          </w:p>
        </w:tc>
      </w:tr>
      <w:tr w:rsidR="00D05547" w:rsidRPr="00D05547" w:rsidTr="00D05547">
        <w:tc>
          <w:tcPr>
            <w:tcW w:w="4140" w:type="dxa"/>
            <w:tcMar>
              <w:top w:w="0" w:type="dxa"/>
              <w:left w:w="108" w:type="dxa"/>
              <w:bottom w:w="0" w:type="dxa"/>
              <w:right w:w="108" w:type="dxa"/>
            </w:tcMar>
            <w:hideMark/>
          </w:tcPr>
          <w:p w:rsidR="00D05547" w:rsidRPr="00D05547" w:rsidRDefault="00D05547" w:rsidP="00D05547">
            <w:pPr>
              <w:spacing w:after="0" w:line="240" w:lineRule="auto"/>
              <w:rPr>
                <w:rFonts w:ascii="Times New Roman" w:eastAsia="Times New Roman" w:hAnsi="Times New Roman" w:cs="Times New Roman"/>
                <w:sz w:val="24"/>
                <w:szCs w:val="24"/>
                <w:lang w:eastAsia="cs-CZ"/>
              </w:rPr>
            </w:pPr>
          </w:p>
        </w:tc>
      </w:tr>
    </w:tbl>
    <w:p w:rsidR="00D05547" w:rsidRPr="00D05547" w:rsidRDefault="00D05547" w:rsidP="00D05547">
      <w:pPr>
        <w:spacing w:after="0" w:line="240" w:lineRule="auto"/>
        <w:rPr>
          <w:rFonts w:ascii="Times New Roman" w:eastAsia="Times New Roman" w:hAnsi="Times New Roman" w:cs="Times New Roman"/>
          <w:sz w:val="24"/>
          <w:szCs w:val="24"/>
          <w:lang w:eastAsia="cs-CZ"/>
        </w:rPr>
      </w:pPr>
      <w:r w:rsidRPr="00D05547">
        <w:rPr>
          <w:rFonts w:ascii="Arial" w:eastAsia="Times New Roman" w:hAnsi="Arial" w:cs="Arial"/>
          <w:i/>
          <w:iCs/>
          <w:lang w:eastAsia="cs-CZ"/>
        </w:rPr>
        <w:t xml:space="preserve">                                                                                                   </w:t>
      </w:r>
      <w:r w:rsidRPr="00D05547">
        <w:rPr>
          <w:rFonts w:ascii="Arial" w:eastAsia="Times New Roman" w:hAnsi="Arial" w:cs="Arial"/>
          <w:i/>
          <w:iCs/>
          <w:sz w:val="20"/>
          <w:szCs w:val="20"/>
          <w:lang w:eastAsia="cs-CZ"/>
        </w:rPr>
        <w:t>(jméno a příjmení oběti trestného činu)</w:t>
      </w:r>
    </w:p>
    <w:tbl>
      <w:tblPr>
        <w:tblW w:w="3685" w:type="dxa"/>
        <w:tblInd w:w="5495" w:type="dxa"/>
        <w:tblCellMar>
          <w:left w:w="0" w:type="dxa"/>
          <w:right w:w="0" w:type="dxa"/>
        </w:tblCellMar>
        <w:tblLook w:val="04A0" w:firstRow="1" w:lastRow="0" w:firstColumn="1" w:lastColumn="0" w:noHBand="0" w:noVBand="1"/>
      </w:tblPr>
      <w:tblGrid>
        <w:gridCol w:w="3685"/>
      </w:tblGrid>
      <w:tr w:rsidR="00D05547" w:rsidRPr="00D05547" w:rsidTr="00D05547">
        <w:tc>
          <w:tcPr>
            <w:tcW w:w="3685" w:type="dxa"/>
            <w:tcMar>
              <w:top w:w="0" w:type="dxa"/>
              <w:left w:w="108" w:type="dxa"/>
              <w:bottom w:w="0" w:type="dxa"/>
              <w:right w:w="108" w:type="dxa"/>
            </w:tcMar>
            <w:hideMark/>
          </w:tcPr>
          <w:p w:rsidR="00D05547" w:rsidRPr="00D05547" w:rsidRDefault="00D05547" w:rsidP="00D05547">
            <w:pPr>
              <w:spacing w:after="0" w:line="240" w:lineRule="auto"/>
              <w:rPr>
                <w:rFonts w:ascii="Times New Roman" w:eastAsia="Times New Roman" w:hAnsi="Times New Roman" w:cs="Times New Roman"/>
                <w:sz w:val="24"/>
                <w:szCs w:val="24"/>
                <w:lang w:eastAsia="cs-CZ"/>
              </w:rPr>
            </w:pPr>
          </w:p>
        </w:tc>
      </w:tr>
      <w:tr w:rsidR="00D05547" w:rsidRPr="00D05547" w:rsidTr="00D05547">
        <w:tc>
          <w:tcPr>
            <w:tcW w:w="3685" w:type="dxa"/>
            <w:tcMar>
              <w:top w:w="0" w:type="dxa"/>
              <w:left w:w="108" w:type="dxa"/>
              <w:bottom w:w="0" w:type="dxa"/>
              <w:right w:w="108" w:type="dxa"/>
            </w:tcMar>
            <w:hideMark/>
          </w:tcPr>
          <w:p w:rsidR="00D05547" w:rsidRPr="00D05547" w:rsidRDefault="00D05547" w:rsidP="00D05547">
            <w:pPr>
              <w:spacing w:after="0" w:line="240" w:lineRule="auto"/>
              <w:rPr>
                <w:rFonts w:ascii="Times New Roman" w:eastAsia="Times New Roman" w:hAnsi="Times New Roman" w:cs="Times New Roman"/>
                <w:sz w:val="20"/>
                <w:szCs w:val="20"/>
                <w:lang w:eastAsia="cs-CZ"/>
              </w:rPr>
            </w:pPr>
          </w:p>
        </w:tc>
      </w:tr>
    </w:tbl>
    <w:p w:rsidR="00D05547" w:rsidRPr="00D05547" w:rsidRDefault="00D05547" w:rsidP="00D05547">
      <w:pPr>
        <w:spacing w:after="0" w:line="240" w:lineRule="auto"/>
        <w:rPr>
          <w:rFonts w:ascii="Times New Roman" w:eastAsia="Times New Roman" w:hAnsi="Times New Roman" w:cs="Times New Roman"/>
          <w:sz w:val="24"/>
          <w:szCs w:val="24"/>
          <w:lang w:eastAsia="cs-CZ"/>
        </w:rPr>
      </w:pPr>
      <w:r w:rsidRPr="00D05547">
        <w:rPr>
          <w:rFonts w:ascii="Arial" w:eastAsia="Times New Roman" w:hAnsi="Arial" w:cs="Arial"/>
          <w:sz w:val="14"/>
          <w:szCs w:val="14"/>
          <w:lang w:eastAsia="cs-CZ"/>
        </w:rPr>
        <w:t> </w:t>
      </w:r>
    </w:p>
    <w:p w:rsidR="00D05547" w:rsidRPr="00D05547" w:rsidRDefault="00D05547" w:rsidP="00D05547">
      <w:pPr>
        <w:spacing w:after="0" w:line="240" w:lineRule="auto"/>
        <w:rPr>
          <w:rFonts w:ascii="Times New Roman" w:eastAsia="Times New Roman" w:hAnsi="Times New Roman" w:cs="Times New Roman"/>
          <w:sz w:val="24"/>
          <w:szCs w:val="24"/>
          <w:lang w:eastAsia="cs-CZ"/>
        </w:rPr>
      </w:pPr>
      <w:r w:rsidRPr="00D05547">
        <w:rPr>
          <w:rFonts w:ascii="Arial" w:eastAsia="Times New Roman" w:hAnsi="Arial" w:cs="Arial"/>
          <w:sz w:val="14"/>
          <w:szCs w:val="14"/>
          <w:lang w:eastAsia="cs-CZ"/>
        </w:rPr>
        <w:t> </w:t>
      </w:r>
    </w:p>
    <w:p w:rsidR="00D05547" w:rsidRPr="00D05547" w:rsidRDefault="00D05547" w:rsidP="00D05547">
      <w:pPr>
        <w:spacing w:after="0" w:line="240" w:lineRule="auto"/>
        <w:rPr>
          <w:rFonts w:ascii="Times New Roman" w:eastAsia="Times New Roman" w:hAnsi="Times New Roman" w:cs="Times New Roman"/>
          <w:sz w:val="24"/>
          <w:szCs w:val="24"/>
          <w:lang w:eastAsia="cs-CZ"/>
        </w:rPr>
      </w:pPr>
      <w:r w:rsidRPr="00D05547">
        <w:rPr>
          <w:rFonts w:ascii="Arial" w:eastAsia="Times New Roman" w:hAnsi="Arial" w:cs="Arial"/>
          <w:sz w:val="14"/>
          <w:szCs w:val="14"/>
          <w:lang w:eastAsia="cs-CZ"/>
        </w:rPr>
        <w:t xml:space="preserve">*) Nehodící se škrtněte </w:t>
      </w:r>
    </w:p>
    <w:p w:rsidR="00D05547" w:rsidRPr="00D05547" w:rsidRDefault="00D05547" w:rsidP="00D05547">
      <w:pPr>
        <w:spacing w:after="0" w:line="240" w:lineRule="auto"/>
        <w:rPr>
          <w:rFonts w:ascii="Times New Roman" w:eastAsia="Times New Roman" w:hAnsi="Times New Roman" w:cs="Times New Roman"/>
          <w:sz w:val="24"/>
          <w:szCs w:val="24"/>
          <w:lang w:eastAsia="cs-CZ"/>
        </w:rPr>
      </w:pPr>
      <w:r w:rsidRPr="00D05547">
        <w:rPr>
          <w:rFonts w:ascii="Arial" w:eastAsia="Times New Roman" w:hAnsi="Arial" w:cs="Arial"/>
          <w:lang w:eastAsia="cs-CZ"/>
        </w:rPr>
        <w:t> </w:t>
      </w:r>
    </w:p>
    <w:p w:rsidR="00AA6443" w:rsidRDefault="00AA6443">
      <w:bookmarkStart w:id="0" w:name="_GoBack"/>
      <w:bookmarkEnd w:id="0"/>
    </w:p>
    <w:sectPr w:rsidR="00AA64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EE"/>
    <w:family w:val="swiss"/>
    <w:pitch w:val="variable"/>
    <w:sig w:usb0="E00002FF" w:usb1="4000ACFF" w:usb2="00000001"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Arial">
    <w:altName w:val="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547"/>
    <w:rsid w:val="003B6821"/>
    <w:rsid w:val="00AA6443"/>
    <w:rsid w:val="00D055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487BF1-3348-4B36-BF1F-22628EC70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78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aspi://module='ASPI'&amp;link='40/2009%20Sb.%2523196'&amp;ucin-k-dni='30.12.9999'"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2695</Words>
  <Characters>15906</Characters>
  <Application>Microsoft Office Word</Application>
  <DocSecurity>0</DocSecurity>
  <Lines>132</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KRÁLOVÁ Markéta</dc:creator>
  <cp:keywords/>
  <dc:description/>
  <cp:lastModifiedBy>KRÁLOVÁ Markéta</cp:lastModifiedBy>
  <cp:revision>1</cp:revision>
  <dcterms:created xsi:type="dcterms:W3CDTF">2019-01-10T08:38:00Z</dcterms:created>
  <dcterms:modified xsi:type="dcterms:W3CDTF">2019-01-10T08:38:00Z</dcterms:modified>
</cp:coreProperties>
</file>